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97574F" w14:paraId="62D6D4A3" w14:textId="77777777">
        <w:tc>
          <w:tcPr>
            <w:tcW w:w="4928" w:type="dxa"/>
            <w:shd w:val="clear" w:color="auto" w:fill="auto"/>
            <w:vAlign w:val="center"/>
          </w:tcPr>
          <w:p w14:paraId="48B5003C" w14:textId="77777777" w:rsidR="0097574F" w:rsidRDefault="0008027B">
            <w:pPr>
              <w:jc w:val="center"/>
            </w:pPr>
            <w:r>
              <w:rPr>
                <w:noProof/>
              </w:rPr>
              <w:drawing>
                <wp:inline distT="0" distB="0" distL="0" distR="0" wp14:anchorId="6A5D12AD" wp14:editId="0FA25DBA">
                  <wp:extent cx="542925" cy="685800"/>
                  <wp:effectExtent l="0" t="0" r="0" b="0"/>
                  <wp:docPr id="1" name="Slika 1"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42925" cy="685800"/>
                          </a:xfrm>
                          <a:prstGeom prst="rect">
                            <a:avLst/>
                          </a:prstGeom>
                        </pic:spPr>
                      </pic:pic>
                    </a:graphicData>
                  </a:graphic>
                </wp:inline>
              </w:drawing>
            </w:r>
          </w:p>
        </w:tc>
      </w:tr>
      <w:tr w:rsidR="0097574F" w14:paraId="6453A73A" w14:textId="77777777">
        <w:tc>
          <w:tcPr>
            <w:tcW w:w="4928" w:type="dxa"/>
            <w:shd w:val="clear" w:color="auto" w:fill="auto"/>
            <w:vAlign w:val="center"/>
          </w:tcPr>
          <w:p w14:paraId="66A85F0F" w14:textId="77777777" w:rsidR="0097574F" w:rsidRDefault="0008027B">
            <w:pPr>
              <w:jc w:val="center"/>
            </w:pPr>
            <w:r>
              <w:rPr>
                <w:b/>
              </w:rPr>
              <w:t>REPUBLIKA HRVATSKA</w:t>
            </w:r>
          </w:p>
        </w:tc>
      </w:tr>
      <w:tr w:rsidR="0097574F" w14:paraId="473B4903" w14:textId="77777777">
        <w:tc>
          <w:tcPr>
            <w:tcW w:w="4928" w:type="dxa"/>
            <w:shd w:val="clear" w:color="auto" w:fill="auto"/>
            <w:vAlign w:val="center"/>
          </w:tcPr>
          <w:p w14:paraId="784341AC" w14:textId="77777777" w:rsidR="0097574F" w:rsidRDefault="0008027B">
            <w:pPr>
              <w:jc w:val="center"/>
            </w:pPr>
            <w:r>
              <w:rPr>
                <w:b/>
              </w:rPr>
              <w:t>MINISTARSTVO PRAVOSUĐA I UPRAVE</w:t>
            </w:r>
          </w:p>
        </w:tc>
      </w:tr>
    </w:tbl>
    <w:p w14:paraId="468D523A" w14:textId="77777777" w:rsidR="0097574F" w:rsidRDefault="0097574F"/>
    <w:p w14:paraId="36984B9E" w14:textId="77777777" w:rsidR="0097574F" w:rsidRDefault="0008027B">
      <w:pPr>
        <w:tabs>
          <w:tab w:val="left" w:pos="1134"/>
        </w:tabs>
      </w:pPr>
      <w:r>
        <w:t>KLASA:</w:t>
      </w:r>
      <w:r>
        <w:tab/>
        <w:t>119-03/23-05/06</w:t>
      </w:r>
    </w:p>
    <w:p w14:paraId="0B99D05B" w14:textId="77777777" w:rsidR="0097574F" w:rsidRDefault="0008027B">
      <w:pPr>
        <w:tabs>
          <w:tab w:val="left" w:pos="1134"/>
        </w:tabs>
      </w:pPr>
      <w:r>
        <w:t>URBROJ:</w:t>
      </w:r>
      <w:r>
        <w:tab/>
        <w:t>514-08-03-04/01-23-02</w:t>
      </w:r>
    </w:p>
    <w:p w14:paraId="38911302" w14:textId="43498E4F" w:rsidR="0097574F" w:rsidRDefault="0008027B">
      <w:pPr>
        <w:tabs>
          <w:tab w:val="left" w:pos="1134"/>
        </w:tabs>
      </w:pPr>
      <w:r>
        <w:t xml:space="preserve">Zagreb, </w:t>
      </w:r>
      <w:r w:rsidR="005622C6">
        <w:rPr>
          <w:spacing w:val="-3"/>
        </w:rPr>
        <w:t>6</w:t>
      </w:r>
      <w:r>
        <w:rPr>
          <w:spacing w:val="-3"/>
        </w:rPr>
        <w:t xml:space="preserve">. </w:t>
      </w:r>
      <w:r w:rsidR="005622C6">
        <w:rPr>
          <w:spacing w:val="-3"/>
        </w:rPr>
        <w:t>studenog</w:t>
      </w:r>
      <w:r>
        <w:rPr>
          <w:spacing w:val="-3"/>
        </w:rPr>
        <w:t xml:space="preserve"> 2023.</w:t>
      </w:r>
    </w:p>
    <w:p w14:paraId="30930E2B" w14:textId="77777777" w:rsidR="0097574F" w:rsidRDefault="0097574F">
      <w:pPr>
        <w:tabs>
          <w:tab w:val="left" w:pos="1134"/>
        </w:tabs>
      </w:pPr>
    </w:p>
    <w:p w14:paraId="510AAAD5" w14:textId="605B031A" w:rsidR="0011667F" w:rsidRPr="003736E2" w:rsidRDefault="0011667F" w:rsidP="0011667F">
      <w:pPr>
        <w:jc w:val="both"/>
      </w:pPr>
      <w:r>
        <w:tab/>
        <w:t>Na t</w:t>
      </w:r>
      <w:r w:rsidRPr="003736E2">
        <w:t>emelj</w:t>
      </w:r>
      <w:r>
        <w:t>u</w:t>
      </w:r>
      <w:r w:rsidRPr="003736E2">
        <w:t xml:space="preserve"> članka 4. Uredbe o raspisivanju i provedbi javnog natječaja i internog oglasa u državnoj službi („Narodne novine“, broj 78/17 i 89/19), a vezano uz </w:t>
      </w:r>
      <w:r>
        <w:t>j</w:t>
      </w:r>
      <w:r w:rsidRPr="003736E2">
        <w:t>avni natječaj za prijam vježbe</w:t>
      </w:r>
      <w:r>
        <w:t>nika u pravosudna tijela, KLASA:</w:t>
      </w:r>
      <w:r>
        <w:rPr>
          <w:color w:val="FF0000"/>
        </w:rPr>
        <w:t xml:space="preserve"> </w:t>
      </w:r>
      <w:r w:rsidRPr="0011667F">
        <w:t>119-03/23-05/06</w:t>
      </w:r>
      <w:r w:rsidRPr="003736E2">
        <w:t>, URBROJ:</w:t>
      </w:r>
      <w:r>
        <w:rPr>
          <w:color w:val="FF0000"/>
        </w:rPr>
        <w:t xml:space="preserve"> </w:t>
      </w:r>
      <w:r w:rsidRPr="0011667F">
        <w:t xml:space="preserve">514-08-03-04/01-23-01 </w:t>
      </w:r>
      <w:r w:rsidRPr="003736E2">
        <w:t>od</w:t>
      </w:r>
      <w:r>
        <w:t xml:space="preserve"> </w:t>
      </w:r>
      <w:r w:rsidR="005622C6">
        <w:t>6. studenog</w:t>
      </w:r>
      <w:r>
        <w:rPr>
          <w:color w:val="FF0000"/>
        </w:rPr>
        <w:tab/>
      </w:r>
      <w:r w:rsidR="005622C6">
        <w:rPr>
          <w:color w:val="FF0000"/>
        </w:rPr>
        <w:t xml:space="preserve"> </w:t>
      </w:r>
      <w:r w:rsidRPr="0011667F">
        <w:t xml:space="preserve">2023., </w:t>
      </w:r>
      <w:r w:rsidRPr="003736E2">
        <w:t>objavljuje se</w:t>
      </w:r>
    </w:p>
    <w:p w14:paraId="3C59F30E" w14:textId="77777777" w:rsidR="0008027B" w:rsidRPr="00D77F58" w:rsidRDefault="0008027B" w:rsidP="0011667F">
      <w:pPr>
        <w:jc w:val="both"/>
        <w:rPr>
          <w:color w:val="000000"/>
        </w:rPr>
      </w:pPr>
    </w:p>
    <w:p w14:paraId="796F1EDF" w14:textId="77777777" w:rsidR="0011667F" w:rsidRPr="001E41A8" w:rsidRDefault="0011667F" w:rsidP="0011667F">
      <w:pPr>
        <w:jc w:val="center"/>
        <w:rPr>
          <w:b/>
          <w:bCs/>
          <w:color w:val="000000"/>
        </w:rPr>
      </w:pPr>
      <w:r w:rsidRPr="001E41A8">
        <w:rPr>
          <w:b/>
          <w:bCs/>
          <w:color w:val="000000"/>
        </w:rPr>
        <w:t xml:space="preserve">Opis poslova, podaci o plaći radnog mjesta, sadržaj i način testiranja i </w:t>
      </w:r>
    </w:p>
    <w:p w14:paraId="370042FB" w14:textId="77777777" w:rsidR="0011667F" w:rsidRPr="001E41A8" w:rsidRDefault="0011667F" w:rsidP="0011667F">
      <w:pPr>
        <w:jc w:val="center"/>
        <w:rPr>
          <w:b/>
          <w:bCs/>
          <w:color w:val="000000"/>
        </w:rPr>
      </w:pPr>
      <w:r w:rsidRPr="001E41A8">
        <w:rPr>
          <w:b/>
          <w:bCs/>
          <w:color w:val="000000"/>
        </w:rPr>
        <w:t>pravni izvori za pripremu kandidata za testiranje</w:t>
      </w:r>
    </w:p>
    <w:p w14:paraId="3CAB6C23" w14:textId="77777777" w:rsidR="0008027B" w:rsidRPr="001E41A8" w:rsidRDefault="0008027B" w:rsidP="0011667F">
      <w:pPr>
        <w:jc w:val="center"/>
        <w:rPr>
          <w:b/>
          <w:bCs/>
          <w:color w:val="000000"/>
        </w:rPr>
      </w:pPr>
    </w:p>
    <w:p w14:paraId="13D334B5" w14:textId="77777777" w:rsidR="0011667F" w:rsidRDefault="0011667F" w:rsidP="0011667F">
      <w:pPr>
        <w:jc w:val="both"/>
        <w:rPr>
          <w:color w:val="000000"/>
        </w:rPr>
      </w:pPr>
      <w:r>
        <w:rPr>
          <w:b/>
          <w:bCs/>
          <w:color w:val="000000"/>
        </w:rPr>
        <w:tab/>
      </w:r>
      <w:r w:rsidRPr="00940738">
        <w:rPr>
          <w:b/>
          <w:bCs/>
          <w:color w:val="000000"/>
        </w:rPr>
        <w:t>Napomena:</w:t>
      </w:r>
      <w:r>
        <w:rPr>
          <w:color w:val="000000"/>
        </w:rPr>
        <w:t xml:space="preserve"> Obavijest o mjestu i vremenu održavanja testiranja objavit će se na službenoj web stranici Ministarstva pravosuđa i uprave: </w:t>
      </w:r>
      <w:r w:rsidRPr="008B0076">
        <w:rPr>
          <w:color w:val="000000"/>
        </w:rPr>
        <w:t>https://mpu.gov.hr/pristup-informacijama-6341/zaposljavanje-u-drzavnoj-sluzbi/natjecaji-u-drzavnoj-sluzbi/22299</w:t>
      </w:r>
      <w:r>
        <w:rPr>
          <w:color w:val="000000"/>
        </w:rPr>
        <w:t xml:space="preserve"> najmanje pet dana prije dana određenog za testiranje.</w:t>
      </w:r>
    </w:p>
    <w:p w14:paraId="2899AD0B" w14:textId="77777777" w:rsidR="0011667F" w:rsidRDefault="0011667F" w:rsidP="0011667F">
      <w:pPr>
        <w:jc w:val="both"/>
        <w:rPr>
          <w:color w:val="000000"/>
        </w:rPr>
      </w:pPr>
    </w:p>
    <w:p w14:paraId="2A9035B2" w14:textId="77777777" w:rsidR="0011667F" w:rsidRDefault="0011667F" w:rsidP="0011667F">
      <w:pPr>
        <w:jc w:val="center"/>
        <w:rPr>
          <w:b/>
          <w:bCs/>
          <w:color w:val="000000"/>
        </w:rPr>
      </w:pPr>
      <w:r w:rsidRPr="00940738">
        <w:rPr>
          <w:b/>
          <w:bCs/>
          <w:color w:val="000000"/>
        </w:rPr>
        <w:t>Opis poslova radnog mjesta</w:t>
      </w:r>
    </w:p>
    <w:p w14:paraId="7968B811" w14:textId="77777777" w:rsidR="0011667F" w:rsidRDefault="0011667F" w:rsidP="0011667F">
      <w:pPr>
        <w:jc w:val="center"/>
        <w:rPr>
          <w:b/>
          <w:bCs/>
          <w:color w:val="000000"/>
        </w:rPr>
      </w:pPr>
    </w:p>
    <w:p w14:paraId="416A4C2D" w14:textId="77777777" w:rsidR="0011667F" w:rsidRDefault="0011667F" w:rsidP="0011667F">
      <w:pPr>
        <w:jc w:val="both"/>
      </w:pPr>
      <w:r>
        <w:tab/>
      </w:r>
      <w:r w:rsidRPr="00D77F58">
        <w:t>Stručno obrazovanje vježbenika u pravosudnim tijelima sastoji se od vježbeničke prakse u pravosudnim tijelima i od sudjelovanja u stručnim radionicama Pravosudne akademije, s ciljem stjecanja uvjeta za polaganje pravosudnog ispita i stručnog osposobljavanja vježbenika za samostalno obavljanje poslova pred pravosudnim tijelima omogućavanjem uvida u organizaciju i funkcioniranje pravosudnih tijela te profesionalni rad pravosudnih dužnosnika.</w:t>
      </w:r>
    </w:p>
    <w:p w14:paraId="25F938AF" w14:textId="77777777" w:rsidR="0011667F" w:rsidRDefault="0011667F" w:rsidP="0011667F">
      <w:pPr>
        <w:jc w:val="both"/>
        <w:rPr>
          <w:b/>
          <w:bCs/>
          <w:color w:val="000000"/>
        </w:rPr>
      </w:pPr>
    </w:p>
    <w:p w14:paraId="65005F59" w14:textId="77777777" w:rsidR="0011667F" w:rsidRDefault="0011667F" w:rsidP="0011667F">
      <w:pPr>
        <w:jc w:val="both"/>
      </w:pPr>
      <w:r>
        <w:tab/>
      </w:r>
      <w:r w:rsidRPr="00D77F58">
        <w:t>Tijekom vježbeničke prakse sudački vježbenik dužan je provesti najmanje četiri mjeseca u građanskom prvostupanjskom odjelu, dva mjeseca u kaznenom prvostupanjskom odjelu, po jedan mjesec u drugostupanjskom građanskom i drugostupanjskom kaznenom odjelu, po jedan mjesec u trgovačkom i upravnom sudu te dva mjeseca u državnom odvjetništvu. Vrijeme do ispunjavanja uvjeta za polaganje pravosudnog ispita vježbenik će provesti prema rasporedu čelnika pravosudnog tijela u koje je raspoređen.</w:t>
      </w:r>
    </w:p>
    <w:p w14:paraId="5A56C800" w14:textId="77777777" w:rsidR="0011667F" w:rsidRDefault="0011667F" w:rsidP="0011667F">
      <w:pPr>
        <w:jc w:val="both"/>
      </w:pPr>
    </w:p>
    <w:p w14:paraId="4E438CB4" w14:textId="77777777" w:rsidR="0011667F" w:rsidRDefault="0011667F" w:rsidP="0011667F">
      <w:pPr>
        <w:jc w:val="both"/>
      </w:pPr>
      <w:r>
        <w:tab/>
      </w:r>
      <w:r w:rsidRPr="00D77F58">
        <w:t xml:space="preserve">Tijekom vježbeničke prakse </w:t>
      </w:r>
      <w:proofErr w:type="spellStart"/>
      <w:r w:rsidRPr="00D77F58">
        <w:t>državnoodvjetnički</w:t>
      </w:r>
      <w:proofErr w:type="spellEnd"/>
      <w:r w:rsidRPr="00D77F58">
        <w:t xml:space="preserve"> vježbenik dužan je provesti najmanje deset mjeseci prakse u sudu, od čega po tri mjeseca u građanskom prvostupanjskom odjelu i u kaznenom prvostupanjskom odjelu, po jedan mjesec u drugostupanjskom građanskom i kaznenom odjelu te po jedan mjesec u trgovačkom i upravnom sudu. Vrijeme do ispunjavanja uvjeta za polaganje pravosudnog ispita vježbenik će provesti prema rasporedu čelnika pravosudnog tijela u koje je raspoređen.  </w:t>
      </w:r>
    </w:p>
    <w:p w14:paraId="1079B407" w14:textId="77777777" w:rsidR="0011667F" w:rsidRDefault="0011667F" w:rsidP="0011667F">
      <w:pPr>
        <w:jc w:val="both"/>
        <w:rPr>
          <w:b/>
          <w:bCs/>
          <w:color w:val="000000"/>
        </w:rPr>
      </w:pPr>
    </w:p>
    <w:p w14:paraId="3CDAF527" w14:textId="77777777" w:rsidR="000168D3" w:rsidRDefault="0011667F" w:rsidP="000168D3">
      <w:pPr>
        <w:jc w:val="both"/>
        <w:rPr>
          <w:b/>
          <w:bCs/>
          <w:color w:val="000000"/>
        </w:rPr>
      </w:pPr>
      <w:r>
        <w:tab/>
      </w:r>
      <w:r w:rsidRPr="00D77F58">
        <w:t xml:space="preserve">Stručne radionice iz pojedinih pravnih područja u ukupnom trajanju od dva mjeseca organizira Pravosudna akademija radi stjecanja vještina za rješavanje praktičnih poslova iz djelokruga rada sudova i državnog odvjetništva. </w:t>
      </w:r>
    </w:p>
    <w:p w14:paraId="3F230300" w14:textId="77777777" w:rsidR="000168D3" w:rsidRDefault="000168D3">
      <w:pPr>
        <w:rPr>
          <w:b/>
          <w:bCs/>
        </w:rPr>
      </w:pPr>
      <w:r>
        <w:rPr>
          <w:b/>
          <w:bCs/>
        </w:rPr>
        <w:br w:type="page"/>
      </w:r>
    </w:p>
    <w:p w14:paraId="115D2A34" w14:textId="69320627" w:rsidR="0011667F" w:rsidRPr="000168D3" w:rsidRDefault="0011667F" w:rsidP="000168D3">
      <w:pPr>
        <w:jc w:val="center"/>
        <w:rPr>
          <w:b/>
          <w:bCs/>
          <w:color w:val="000000"/>
        </w:rPr>
      </w:pPr>
      <w:r w:rsidRPr="009A3557">
        <w:rPr>
          <w:b/>
          <w:bCs/>
        </w:rPr>
        <w:lastRenderedPageBreak/>
        <w:t>Podaci o plaći</w:t>
      </w:r>
    </w:p>
    <w:p w14:paraId="3E28CCBB" w14:textId="77777777" w:rsidR="0011667F" w:rsidRDefault="0011667F" w:rsidP="0011667F">
      <w:pPr>
        <w:jc w:val="center"/>
        <w:rPr>
          <w:b/>
          <w:bCs/>
        </w:rPr>
      </w:pPr>
    </w:p>
    <w:p w14:paraId="3E42F27B" w14:textId="77777777" w:rsidR="0011667F" w:rsidRDefault="0011667F" w:rsidP="0011667F">
      <w:pPr>
        <w:jc w:val="both"/>
        <w:rPr>
          <w:lang w:val="en-US"/>
        </w:rPr>
      </w:pPr>
      <w:r>
        <w:tab/>
      </w:r>
      <w:r w:rsidRPr="009A3557">
        <w:t xml:space="preserve">Temeljem članka 108. Zakona o državnim službenicima i namještenicima („Narodne novine“, broj 27/01), a u vezi s člankom 144. stavkom 2. </w:t>
      </w:r>
      <w:r>
        <w:rPr>
          <w:rFonts w:eastAsia="Calibri"/>
          <w:lang w:eastAsia="en-US"/>
        </w:rPr>
        <w:t xml:space="preserve">Zakona o državnim službenicima </w:t>
      </w:r>
      <w:r>
        <w:t xml:space="preserve">(„Narodne novine“, broj 92/05, 107/07, 27/08, 49/11, 150/11, 34/12, 49/12 - pročišćeni tekst, 37/13, 38/13, 138/15 – Odluka USRH, 61/17, 70/19, 98/19 i 141/22) </w:t>
      </w:r>
      <w:r w:rsidRPr="009A3557">
        <w:t xml:space="preserve"> plaću radnih mjesta čini umnožak koeficijenta složenosti poslova radnog mjesta i osnovice za izračun plaće, uvećan za 0,5% za svaku navršenu godinu radnog staža.</w:t>
      </w:r>
      <w:r>
        <w:rPr>
          <w:lang w:val="en-US"/>
        </w:rPr>
        <w:t xml:space="preserve"> </w:t>
      </w:r>
    </w:p>
    <w:p w14:paraId="295D3CA4" w14:textId="77777777" w:rsidR="0011667F" w:rsidRDefault="0011667F" w:rsidP="0011667F">
      <w:pPr>
        <w:jc w:val="both"/>
        <w:rPr>
          <w:b/>
          <w:bCs/>
        </w:rPr>
      </w:pPr>
    </w:p>
    <w:p w14:paraId="78EC1EE4" w14:textId="1C2F2A8B" w:rsidR="0011667F" w:rsidRDefault="0011667F" w:rsidP="0011667F">
      <w:pPr>
        <w:jc w:val="both"/>
        <w:rPr>
          <w:rFonts w:eastAsia="Calibri"/>
        </w:rPr>
      </w:pPr>
      <w:r>
        <w:tab/>
      </w:r>
      <w:r w:rsidRPr="005622C6">
        <w:t xml:space="preserve">Osnovica za obračun plaće za državne službenike i namještenike od 1. </w:t>
      </w:r>
      <w:r w:rsidR="005622C6" w:rsidRPr="005622C6">
        <w:t>listopada</w:t>
      </w:r>
      <w:r w:rsidRPr="005622C6">
        <w:t xml:space="preserve"> 2023. iznosi </w:t>
      </w:r>
      <w:r w:rsidR="005622C6" w:rsidRPr="005622C6">
        <w:t>947,18</w:t>
      </w:r>
      <w:r w:rsidRPr="005622C6">
        <w:t xml:space="preserve"> eura bruto, </w:t>
      </w:r>
      <w:r w:rsidRPr="005622C6">
        <w:rPr>
          <w:rFonts w:eastAsia="Calibri"/>
        </w:rPr>
        <w:t>a utvrđena je Kolektivnim ugovorom za državne službenike i namještenike („Narodne novine“, broj 56/22, 127/2</w:t>
      </w:r>
      <w:r w:rsidR="005622C6" w:rsidRPr="005622C6">
        <w:rPr>
          <w:rFonts w:eastAsia="Calibri"/>
        </w:rPr>
        <w:t xml:space="preserve">3, </w:t>
      </w:r>
      <w:r w:rsidRPr="005622C6">
        <w:rPr>
          <w:rFonts w:eastAsia="Calibri"/>
        </w:rPr>
        <w:t>58/23</w:t>
      </w:r>
      <w:r w:rsidR="005622C6" w:rsidRPr="005622C6">
        <w:rPr>
          <w:rFonts w:eastAsia="Calibri"/>
        </w:rPr>
        <w:t xml:space="preserve"> i 128/23</w:t>
      </w:r>
      <w:r w:rsidRPr="005622C6">
        <w:rPr>
          <w:rFonts w:eastAsia="Calibri"/>
        </w:rPr>
        <w:t>).</w:t>
      </w:r>
      <w:r w:rsidRPr="009A3557">
        <w:rPr>
          <w:rFonts w:eastAsia="Calibri"/>
        </w:rPr>
        <w:t xml:space="preserve"> </w:t>
      </w:r>
    </w:p>
    <w:p w14:paraId="1569FD54" w14:textId="77777777" w:rsidR="0011667F" w:rsidRDefault="0011667F" w:rsidP="0011667F">
      <w:pPr>
        <w:jc w:val="both"/>
      </w:pPr>
    </w:p>
    <w:p w14:paraId="1E283398" w14:textId="131C50C9" w:rsidR="0011667F" w:rsidRDefault="0011667F" w:rsidP="0011667F">
      <w:pPr>
        <w:jc w:val="both"/>
      </w:pPr>
      <w:r>
        <w:rPr>
          <w:lang w:val="en-US"/>
        </w:rPr>
        <w:tab/>
      </w:r>
      <w:proofErr w:type="spellStart"/>
      <w:r>
        <w:rPr>
          <w:lang w:val="en-US"/>
        </w:rPr>
        <w:t>K</w:t>
      </w:r>
      <w:r w:rsidRPr="00D77F58">
        <w:rPr>
          <w:lang w:val="en-US"/>
        </w:rPr>
        <w:t>oeficijent</w:t>
      </w:r>
      <w:proofErr w:type="spellEnd"/>
      <w:r w:rsidRPr="00D77F58">
        <w:rPr>
          <w:lang w:val="en-US"/>
        </w:rPr>
        <w:t xml:space="preserve"> </w:t>
      </w:r>
      <w:proofErr w:type="spellStart"/>
      <w:r w:rsidRPr="00D77F58">
        <w:rPr>
          <w:lang w:val="en-US"/>
        </w:rPr>
        <w:t>složenosti</w:t>
      </w:r>
      <w:proofErr w:type="spellEnd"/>
      <w:r w:rsidRPr="00D77F58">
        <w:rPr>
          <w:lang w:val="en-US"/>
        </w:rPr>
        <w:t xml:space="preserve"> </w:t>
      </w:r>
      <w:proofErr w:type="spellStart"/>
      <w:r w:rsidRPr="00D77F58">
        <w:rPr>
          <w:lang w:val="en-US"/>
        </w:rPr>
        <w:t>poslova</w:t>
      </w:r>
      <w:proofErr w:type="spellEnd"/>
      <w:r w:rsidRPr="00D77F58">
        <w:rPr>
          <w:lang w:val="en-US"/>
        </w:rPr>
        <w:t xml:space="preserve"> </w:t>
      </w:r>
      <w:proofErr w:type="spellStart"/>
      <w:r w:rsidRPr="00D77F58">
        <w:rPr>
          <w:lang w:val="en-US"/>
        </w:rPr>
        <w:t>za</w:t>
      </w:r>
      <w:proofErr w:type="spellEnd"/>
      <w:r w:rsidRPr="00D77F58">
        <w:rPr>
          <w:lang w:val="en-US"/>
        </w:rPr>
        <w:t xml:space="preserve"> </w:t>
      </w:r>
      <w:proofErr w:type="spellStart"/>
      <w:r w:rsidRPr="00D77F58">
        <w:rPr>
          <w:lang w:val="en-US"/>
        </w:rPr>
        <w:t>radno</w:t>
      </w:r>
      <w:proofErr w:type="spellEnd"/>
      <w:r w:rsidRPr="00D77F58">
        <w:rPr>
          <w:lang w:val="en-US"/>
        </w:rPr>
        <w:t xml:space="preserve"> </w:t>
      </w:r>
      <w:proofErr w:type="spellStart"/>
      <w:r w:rsidRPr="00D77F58">
        <w:rPr>
          <w:lang w:val="en-US"/>
        </w:rPr>
        <w:t>mjesto</w:t>
      </w:r>
      <w:proofErr w:type="spellEnd"/>
      <w:r w:rsidRPr="00D77F58">
        <w:rPr>
          <w:lang w:val="en-US"/>
        </w:rPr>
        <w:t xml:space="preserve"> </w:t>
      </w:r>
      <w:proofErr w:type="spellStart"/>
      <w:r>
        <w:rPr>
          <w:lang w:val="en-US"/>
        </w:rPr>
        <w:t>sudački</w:t>
      </w:r>
      <w:proofErr w:type="spellEnd"/>
      <w:r>
        <w:rPr>
          <w:lang w:val="en-US"/>
        </w:rPr>
        <w:t>/</w:t>
      </w:r>
      <w:proofErr w:type="spellStart"/>
      <w:r>
        <w:rPr>
          <w:lang w:val="en-US"/>
        </w:rPr>
        <w:t>državnoodvjetnički</w:t>
      </w:r>
      <w:proofErr w:type="spellEnd"/>
      <w:r>
        <w:rPr>
          <w:lang w:val="en-US"/>
        </w:rPr>
        <w:t xml:space="preserve"> </w:t>
      </w:r>
      <w:proofErr w:type="spellStart"/>
      <w:r w:rsidRPr="00D77F58">
        <w:rPr>
          <w:lang w:val="en-US"/>
        </w:rPr>
        <w:t>vježbenik</w:t>
      </w:r>
      <w:proofErr w:type="spellEnd"/>
      <w:r w:rsidRPr="00D77F58">
        <w:rPr>
          <w:lang w:val="en-US"/>
        </w:rPr>
        <w:t xml:space="preserve"> </w:t>
      </w:r>
      <w:r w:rsidRPr="00D77F58">
        <w:rPr>
          <w:rFonts w:eastAsia="Calibri"/>
        </w:rPr>
        <w:t>iznosi</w:t>
      </w:r>
      <w:r w:rsidRPr="00D77F58">
        <w:rPr>
          <w:lang w:val="en-US"/>
        </w:rPr>
        <w:t xml:space="preserve"> 85% </w:t>
      </w:r>
      <w:proofErr w:type="spellStart"/>
      <w:r w:rsidRPr="00D77F58">
        <w:rPr>
          <w:lang w:val="en-US"/>
        </w:rPr>
        <w:t>plaće</w:t>
      </w:r>
      <w:proofErr w:type="spellEnd"/>
      <w:r w:rsidRPr="00D77F58">
        <w:rPr>
          <w:lang w:val="en-US"/>
        </w:rPr>
        <w:t xml:space="preserve"> </w:t>
      </w:r>
      <w:proofErr w:type="spellStart"/>
      <w:r w:rsidRPr="00D77F58">
        <w:rPr>
          <w:lang w:val="en-US"/>
        </w:rPr>
        <w:t>poslova</w:t>
      </w:r>
      <w:proofErr w:type="spellEnd"/>
      <w:r w:rsidRPr="00D77F58">
        <w:rPr>
          <w:lang w:val="en-US"/>
        </w:rPr>
        <w:t xml:space="preserve"> </w:t>
      </w:r>
      <w:proofErr w:type="spellStart"/>
      <w:r w:rsidRPr="00D77F58">
        <w:rPr>
          <w:lang w:val="en-US"/>
        </w:rPr>
        <w:t>radnog</w:t>
      </w:r>
      <w:proofErr w:type="spellEnd"/>
      <w:r w:rsidRPr="00D77F58">
        <w:rPr>
          <w:lang w:val="en-US"/>
        </w:rPr>
        <w:t xml:space="preserve"> </w:t>
      </w:r>
      <w:proofErr w:type="spellStart"/>
      <w:r w:rsidRPr="00D77F58">
        <w:rPr>
          <w:lang w:val="en-US"/>
        </w:rPr>
        <w:t>mjesta</w:t>
      </w:r>
      <w:proofErr w:type="spellEnd"/>
      <w:r w:rsidRPr="00D77F58">
        <w:rPr>
          <w:lang w:val="en-US"/>
        </w:rPr>
        <w:t xml:space="preserve"> </w:t>
      </w:r>
      <w:proofErr w:type="spellStart"/>
      <w:r w:rsidRPr="00D77F58">
        <w:rPr>
          <w:lang w:val="en-US"/>
        </w:rPr>
        <w:t>najniže</w:t>
      </w:r>
      <w:proofErr w:type="spellEnd"/>
      <w:r w:rsidRPr="00D77F58">
        <w:rPr>
          <w:lang w:val="en-US"/>
        </w:rPr>
        <w:t xml:space="preserve"> </w:t>
      </w:r>
      <w:proofErr w:type="spellStart"/>
      <w:r w:rsidRPr="00D77F58">
        <w:rPr>
          <w:lang w:val="en-US"/>
        </w:rPr>
        <w:t>složenosti</w:t>
      </w:r>
      <w:proofErr w:type="spellEnd"/>
      <w:r w:rsidRPr="00D77F58">
        <w:rPr>
          <w:lang w:val="en-US"/>
        </w:rPr>
        <w:t xml:space="preserve"> </w:t>
      </w:r>
      <w:proofErr w:type="spellStart"/>
      <w:r w:rsidRPr="00D77F58">
        <w:rPr>
          <w:lang w:val="en-US"/>
        </w:rPr>
        <w:t>njegove</w:t>
      </w:r>
      <w:proofErr w:type="spellEnd"/>
      <w:r w:rsidRPr="00D77F58">
        <w:rPr>
          <w:lang w:val="en-US"/>
        </w:rPr>
        <w:t xml:space="preserve"> </w:t>
      </w:r>
      <w:proofErr w:type="spellStart"/>
      <w:r w:rsidRPr="00D77F58">
        <w:rPr>
          <w:lang w:val="en-US"/>
        </w:rPr>
        <w:t>vrste</w:t>
      </w:r>
      <w:proofErr w:type="spellEnd"/>
      <w:r w:rsidRPr="00D77F58">
        <w:rPr>
          <w:lang w:val="en-US"/>
        </w:rPr>
        <w:t xml:space="preserve"> </w:t>
      </w:r>
      <w:proofErr w:type="spellStart"/>
      <w:r w:rsidRPr="00D77F58">
        <w:rPr>
          <w:lang w:val="en-US"/>
        </w:rPr>
        <w:t>odnosno</w:t>
      </w:r>
      <w:proofErr w:type="spellEnd"/>
      <w:r w:rsidRPr="00D77F58">
        <w:rPr>
          <w:lang w:val="en-US"/>
        </w:rPr>
        <w:t xml:space="preserve"> </w:t>
      </w:r>
      <w:r w:rsidRPr="00D77F58">
        <w:t>koeficijenta složenosti poslova za radno mjesto I. vrste stručnog suradnika u sudu/državnom odvjetništvu koji iznosi 1,309</w:t>
      </w:r>
      <w:r>
        <w:t xml:space="preserve">, stoga </w:t>
      </w:r>
      <w:r w:rsidRPr="00D77F58">
        <w:rPr>
          <w:rFonts w:eastAsia="Calibri"/>
        </w:rPr>
        <w:t>koeficijent složenosti poslova za radno mjesto sudačkog /</w:t>
      </w:r>
      <w:proofErr w:type="spellStart"/>
      <w:r w:rsidRPr="00D77F58">
        <w:rPr>
          <w:rFonts w:eastAsia="Calibri"/>
        </w:rPr>
        <w:t>državnoodvjetničkog</w:t>
      </w:r>
      <w:proofErr w:type="spellEnd"/>
      <w:r w:rsidRPr="00D77F58">
        <w:rPr>
          <w:rFonts w:eastAsia="Calibri"/>
        </w:rPr>
        <w:t xml:space="preserve"> vježbenika iznosi 1,113</w:t>
      </w:r>
      <w:r>
        <w:rPr>
          <w:rFonts w:eastAsia="Calibri"/>
        </w:rPr>
        <w:t xml:space="preserve">, sukladno </w:t>
      </w:r>
      <w:r w:rsidRPr="005E4F5D">
        <w:t>Uredb</w:t>
      </w:r>
      <w:r>
        <w:t>i</w:t>
      </w:r>
      <w:r w:rsidRPr="005E4F5D">
        <w:t xml:space="preserve"> o nazivima radnih mjesta i koeficijentima složenosti poslova u državnoj službi („Narodne novine“, </w:t>
      </w:r>
      <w:r w:rsidRPr="0051215C">
        <w:rPr>
          <w:color w:val="000000" w:themeColor="text1"/>
        </w:rPr>
        <w:t xml:space="preserve">broj </w:t>
      </w:r>
      <w:hyperlink r:id="rId9" w:tooltip="Uredba o nazivima radnih mjesta i koeficijentima složenosti poslova u državnoj službi" w:history="1">
        <w:r w:rsidRPr="008B0076">
          <w:t>37/01</w:t>
        </w:r>
      </w:hyperlink>
      <w:r w:rsidRPr="008B0076">
        <w:t xml:space="preserve">, </w:t>
      </w:r>
      <w:hyperlink r:id="rId10" w:tooltip="Ispravak Uredbe o nazivima radnih mjesta i koeficijentima složenosti poslova u državnoj službi" w:history="1">
        <w:r w:rsidRPr="008B0076">
          <w:t>38/01</w:t>
        </w:r>
      </w:hyperlink>
      <w:r w:rsidRPr="008B0076">
        <w:t xml:space="preserve">, </w:t>
      </w:r>
      <w:hyperlink r:id="rId11" w:tooltip="Uredba o dopuni Uredbe o nazivima radnih mjesta i koeficijentima složenosti poslova u državnoj službi" w:history="1">
        <w:r w:rsidRPr="008B0076">
          <w:t>71/01</w:t>
        </w:r>
      </w:hyperlink>
      <w:r w:rsidRPr="008B0076">
        <w:t xml:space="preserve">, </w:t>
      </w:r>
      <w:hyperlink r:id="rId12" w:tooltip="Uredba o izmjenama i dopunama Uredbe o nazivima radnih mjesta i koeficijentima složenosti poslova u državnoj službi" w:history="1">
        <w:r w:rsidRPr="008B0076">
          <w:t>89/01</w:t>
        </w:r>
      </w:hyperlink>
      <w:r w:rsidRPr="008B0076">
        <w:t xml:space="preserve">, </w:t>
      </w:r>
      <w:hyperlink r:id="rId13" w:tooltip="Uredba o izmjenama i dopunama Uredbe o nazivima radnih mjesta i koeficijentima složenosti  poslova u državnoj službi" w:history="1">
        <w:r w:rsidRPr="008B0076">
          <w:t>112/01</w:t>
        </w:r>
      </w:hyperlink>
      <w:r w:rsidRPr="008B0076">
        <w:t xml:space="preserve">, </w:t>
      </w:r>
      <w:hyperlink r:id="rId14" w:tooltip="Ispravak Uredbe o izmjenama i dopunama Uredbe o nazivima radnih mjesta i koeficijentima složenosti poslova u državnoj službi" w:history="1">
        <w:r w:rsidRPr="008B0076">
          <w:t>7/02</w:t>
        </w:r>
      </w:hyperlink>
      <w:r w:rsidRPr="008B0076">
        <w:t xml:space="preserve">, </w:t>
      </w:r>
      <w:hyperlink r:id="rId15" w:tooltip="Uredba o izmjeni Uredbe o nazivima radnih mjesta i koeficijentima složenosti poslova u državnoj službi" w:history="1">
        <w:r w:rsidRPr="008B0076">
          <w:t>17/03</w:t>
        </w:r>
      </w:hyperlink>
      <w:r w:rsidRPr="008B0076">
        <w:t xml:space="preserve">, </w:t>
      </w:r>
      <w:hyperlink r:id="rId16" w:tooltip="Uredba o izmjeni i dopuni Uredbe o nazivima radnih mjesta i koeficijentima složenosti poslova u državnoj službi" w:history="1">
        <w:r w:rsidRPr="008B0076">
          <w:t>197/2003</w:t>
        </w:r>
      </w:hyperlink>
      <w:r w:rsidRPr="008B0076">
        <w:t xml:space="preserve">, </w:t>
      </w:r>
      <w:hyperlink r:id="rId17" w:tooltip="Uredba o izmjenama i dopunama Uredbe o nazivima radnih mjesta i koeficijentima složenosti poslova u državnoj službi" w:history="1">
        <w:r w:rsidRPr="008B0076">
          <w:t>21/04</w:t>
        </w:r>
      </w:hyperlink>
      <w:r w:rsidRPr="008B0076">
        <w:t xml:space="preserve">, </w:t>
      </w:r>
      <w:hyperlink r:id="rId18" w:tooltip="Ispravak Uredbe o izmjenama i dopunama Uredbe o nazivima radnih mjesta i koeficijentima složenosti poslova u državnoj službi" w:history="1">
        <w:r w:rsidRPr="008B0076">
          <w:t>25/04</w:t>
        </w:r>
      </w:hyperlink>
      <w:r w:rsidRPr="008B0076">
        <w:t xml:space="preserve">, </w:t>
      </w:r>
      <w:hyperlink r:id="rId19" w:tooltip="Uredba o izmjenama i dopunama Uredbe o nazivima radnih mjesta i koeficijentima složenosti poslova u državnoj službi" w:history="1">
        <w:r w:rsidRPr="008B0076">
          <w:t>66/05</w:t>
        </w:r>
      </w:hyperlink>
      <w:r w:rsidRPr="008B0076">
        <w:t xml:space="preserve">, </w:t>
      </w:r>
      <w:hyperlink r:id="rId20" w:tooltip="Zakon o državnim službenicima" w:history="1">
        <w:r w:rsidRPr="008B0076">
          <w:t>92/05</w:t>
        </w:r>
      </w:hyperlink>
      <w:r w:rsidRPr="008B0076">
        <w:t xml:space="preserve">, </w:t>
      </w:r>
      <w:hyperlink r:id="rId21" w:tooltip="Uredba o izmjenama i dopunama Uredbe o nazivima radnih mjesta i koeficijentima složenosti poslova u državnoj službi" w:history="1">
        <w:r w:rsidRPr="008B0076">
          <w:t>131/05</w:t>
        </w:r>
      </w:hyperlink>
      <w:r w:rsidRPr="008B0076">
        <w:t xml:space="preserve">, </w:t>
      </w:r>
      <w:hyperlink r:id="rId22" w:tooltip="Zakon o izmjenama i dopunama Zakona o plaćama ovlaštenih državnih revizora" w:history="1">
        <w:r w:rsidRPr="008B0076">
          <w:t>140/05</w:t>
        </w:r>
      </w:hyperlink>
      <w:r w:rsidRPr="008B0076">
        <w:t xml:space="preserve">, </w:t>
      </w:r>
      <w:hyperlink r:id="rId23" w:tooltip="Uredba o nazivima radnih mjesta i koeficijentima složenosti poslova, dodatku na uvjete rada te kriterijima i najvišem mogućem iznosu dodatka za natprosječne rezultate u radu za službenike Porezne uprave" w:history="1">
        <w:r w:rsidRPr="008B0076">
          <w:t>81/06</w:t>
        </w:r>
      </w:hyperlink>
      <w:r w:rsidRPr="008B0076">
        <w:t xml:space="preserve">, </w:t>
      </w:r>
      <w:hyperlink r:id="rId24" w:tooltip="Uredba o izmjeni i dopuni Uredbe o nazivima radnih mjesta i koeficijentima složenosti poslova u državnoj službi" w:history="1">
        <w:r w:rsidRPr="008B0076">
          <w:t>11/07</w:t>
        </w:r>
      </w:hyperlink>
      <w:r w:rsidRPr="008B0076">
        <w:t xml:space="preserve">, </w:t>
      </w:r>
      <w:hyperlink r:id="rId25" w:tooltip="Uredba o dopuni Uredbe o nazivima radnih mjesta i koeficijentima složenosti poslova u državnoj službi" w:history="1">
        <w:r w:rsidRPr="008B0076">
          <w:t>47/07</w:t>
        </w:r>
      </w:hyperlink>
      <w:r w:rsidRPr="008B0076">
        <w:t xml:space="preserve">, </w:t>
      </w:r>
      <w:hyperlink r:id="rId26" w:tooltip="Uredba o izmjeni Uredbe o nazivima radnih mjesta i koeficijentima složenosti poslova u državnoj službi" w:history="1">
        <w:r w:rsidRPr="008B0076">
          <w:t>109/07</w:t>
        </w:r>
      </w:hyperlink>
      <w:r w:rsidRPr="008B0076">
        <w:t xml:space="preserve">, </w:t>
      </w:r>
      <w:hyperlink r:id="rId27" w:tooltip="Uredba o dopuni Uredbe o nazivima radnih mjesta i koeficijentima složenosti poslova u državnoj službi" w:history="1">
        <w:r w:rsidRPr="008B0076">
          <w:t>58/08</w:t>
        </w:r>
      </w:hyperlink>
      <w:r w:rsidRPr="008B0076">
        <w:t xml:space="preserve">, </w:t>
      </w:r>
      <w:hyperlink r:id="rId28" w:tooltip="Uredba o dopunama Uredbe o nazivima radnih mjesta i koeficijentima složenosti poslova u državnoj službi" w:history="1">
        <w:r w:rsidRPr="008B0076">
          <w:t>32/09</w:t>
        </w:r>
      </w:hyperlink>
      <w:r w:rsidRPr="008B0076">
        <w:t xml:space="preserve">, </w:t>
      </w:r>
      <w:hyperlink r:id="rId29" w:tooltip="Uredba o izmjeni i dopuni Uredbe o nazivima radnih mjesta i koeficijentima složenosti poslova u državnoj službi" w:history="1">
        <w:r w:rsidRPr="008B0076">
          <w:t>140/09</w:t>
        </w:r>
      </w:hyperlink>
      <w:r w:rsidRPr="008B0076">
        <w:t xml:space="preserve">, </w:t>
      </w:r>
      <w:hyperlink r:id="rId30" w:tooltip="Uredbu o dopuni Uredbe o nazivima radnih mjesta i koeficijentima složenosti poslova u državnoj službi" w:history="1">
        <w:r w:rsidRPr="008B0076">
          <w:t>21/10</w:t>
        </w:r>
      </w:hyperlink>
      <w:r w:rsidRPr="008B0076">
        <w:t xml:space="preserve">, </w:t>
      </w:r>
      <w:hyperlink r:id="rId31" w:tooltip="Uredba o izmjenama i dopunama Uredbe o nazivima radnih mjesta i koeficijentima složenosti poslova u državnoj službi" w:history="1">
        <w:r w:rsidRPr="008B0076">
          <w:t>38/10</w:t>
        </w:r>
      </w:hyperlink>
      <w:r w:rsidRPr="008B0076">
        <w:t xml:space="preserve">, </w:t>
      </w:r>
      <w:hyperlink r:id="rId32" w:tooltip="Uredba o dopunama Uredbe o nazivima radnih mjesta i koeficijentima složenosti poslova u državnoj službi" w:history="1">
        <w:r w:rsidRPr="008B0076">
          <w:t>77/10</w:t>
        </w:r>
      </w:hyperlink>
      <w:r w:rsidRPr="008B0076">
        <w:t xml:space="preserve">, </w:t>
      </w:r>
      <w:hyperlink r:id="rId33" w:tooltip="Uredba o izmjenama i dopunama Uredbe o nazivima radnih mjesta i koeficijentima složenosti poslova u državnoj službi" w:history="1">
        <w:r w:rsidRPr="008B0076">
          <w:t>113/10</w:t>
        </w:r>
      </w:hyperlink>
      <w:r w:rsidRPr="008B0076">
        <w:t xml:space="preserve">, </w:t>
      </w:r>
      <w:hyperlink r:id="rId34" w:tooltip="Uredba o dopunama Uredbe o nazivima radnih mjesta i koeficijentima složenosti poslova u državnoj službi" w:history="1">
        <w:r w:rsidRPr="008B0076">
          <w:t>22/11</w:t>
        </w:r>
      </w:hyperlink>
      <w:r w:rsidRPr="008B0076">
        <w:t xml:space="preserve">, </w:t>
      </w:r>
      <w:hyperlink r:id="rId35" w:tooltip="Uredba o izmjenama i dopunama Uredbe o nazivima radnih mjesta i koeficijentima složenosti poslova u državnoj službi" w:history="1">
        <w:r w:rsidRPr="008B0076">
          <w:t>142/11</w:t>
        </w:r>
      </w:hyperlink>
      <w:r w:rsidRPr="008B0076">
        <w:t xml:space="preserve">, </w:t>
      </w:r>
      <w:hyperlink r:id="rId36" w:tooltip="Uredba o izmjenama i dopunama Uredbe o nazivima radnih mjesta i koeficijentima složenosti poslova u državnoj službi" w:history="1">
        <w:r w:rsidRPr="008B0076">
          <w:t>31/12</w:t>
        </w:r>
      </w:hyperlink>
      <w:r w:rsidRPr="008B0076">
        <w:t xml:space="preserve">, </w:t>
      </w:r>
      <w:hyperlink r:id="rId37" w:tooltip="Uredba o izmjenama i dopunama Uredbe o nazivima radnih mjesta i koeficijentima složenosti poslova u državnoj službi" w:history="1">
        <w:r w:rsidRPr="008B0076">
          <w:t>49/12</w:t>
        </w:r>
      </w:hyperlink>
      <w:r w:rsidRPr="008B0076">
        <w:t xml:space="preserve">, </w:t>
      </w:r>
      <w:hyperlink r:id="rId38" w:tooltip="Uredba o izmjenama Uredbe o nazivima radnih mjesta i koeficijentima složenosti poslova u državnoj službi" w:history="1">
        <w:r w:rsidRPr="008B0076">
          <w:t>60/12</w:t>
        </w:r>
      </w:hyperlink>
      <w:r w:rsidRPr="008B0076">
        <w:t xml:space="preserve">, </w:t>
      </w:r>
      <w:hyperlink r:id="rId39" w:tooltip="Uredba o vrijednosti koeficijenata složenosti poslova radnih mjesta, dodatku na uvjete rada, te kriterijima i najvišem mogućem iznosu dodatka za natprosječne rezultate u radu za službenike Carinske uprave" w:history="1">
        <w:r w:rsidRPr="008B0076">
          <w:t>65/12</w:t>
        </w:r>
      </w:hyperlink>
      <w:r w:rsidRPr="008B0076">
        <w:t xml:space="preserve">, </w:t>
      </w:r>
      <w:hyperlink r:id="rId40" w:tooltip="Uredba o izmjenama i dopunama Uredbe o nazivima radnih mjesta i koeficijentima složenosti poslova u državnoj službi" w:history="1">
        <w:r w:rsidRPr="008B0076">
          <w:t>78/12</w:t>
        </w:r>
      </w:hyperlink>
      <w:r w:rsidRPr="008B0076">
        <w:t xml:space="preserve">, </w:t>
      </w:r>
      <w:hyperlink r:id="rId41" w:tooltip="Uredba o izmjeni Uredbe o nazivima radnih mjesta  i koeficijentima složenosti poslova u državnoj službi" w:history="1">
        <w:r w:rsidRPr="008B0076">
          <w:t>82/12</w:t>
        </w:r>
      </w:hyperlink>
      <w:r w:rsidRPr="008B0076">
        <w:t xml:space="preserve">, </w:t>
      </w:r>
      <w:hyperlink r:id="rId42" w:tooltip="Uredba o izmjenama i dopunama Uredbe o nazivima radnih mjesta i koeficijentima složenosti poslova u državnoj službi" w:history="1">
        <w:r w:rsidRPr="008B0076">
          <w:t>100/12</w:t>
        </w:r>
      </w:hyperlink>
      <w:r w:rsidRPr="008B0076">
        <w:t xml:space="preserve">, </w:t>
      </w:r>
      <w:hyperlink r:id="rId43" w:tooltip="Uredba o izmjeni i dopunama Uredbe o nazivima radnih mjesta i koeficijentima složenosti poslova u državnoj službi" w:history="1">
        <w:r w:rsidRPr="008B0076">
          <w:t>124/12</w:t>
        </w:r>
      </w:hyperlink>
      <w:r w:rsidRPr="008B0076">
        <w:t xml:space="preserve">, </w:t>
      </w:r>
      <w:hyperlink r:id="rId44" w:tooltip="Uredba o izmjeni i dopunama Uredbe o nazivima radnih mjesta i koeficijentima složenosti poslova u državnoj službi" w:history="1">
        <w:r w:rsidRPr="008B0076">
          <w:t>140/12</w:t>
        </w:r>
      </w:hyperlink>
      <w:r w:rsidRPr="008B0076">
        <w:t xml:space="preserve">, </w:t>
      </w:r>
      <w:hyperlink r:id="rId45" w:tooltip="Uredba o izmjeni Uredbe o nazivima radnih mjesta i koeficijentima složenosti poslova u državnoj službi" w:history="1">
        <w:r w:rsidRPr="008B0076">
          <w:t>16/13</w:t>
        </w:r>
      </w:hyperlink>
      <w:r w:rsidRPr="008B0076">
        <w:t xml:space="preserve">, </w:t>
      </w:r>
      <w:hyperlink r:id="rId46" w:tooltip="Uredba o izmjenama Uredbe o nazivima radnih mjesta i koeficijentima složenosti poslova u državnoj službi" w:history="1">
        <w:r w:rsidRPr="008B0076">
          <w:t>25/13</w:t>
        </w:r>
      </w:hyperlink>
      <w:r w:rsidRPr="008B0076">
        <w:t xml:space="preserve">, </w:t>
      </w:r>
      <w:hyperlink r:id="rId47" w:tooltip="Uredba o izmjeni Uredbe o nazivima radnih mjesta i koeficijentima složenosti poslova u državnoj službi" w:history="1">
        <w:r w:rsidRPr="008B0076">
          <w:t>52/13</w:t>
        </w:r>
      </w:hyperlink>
      <w:r w:rsidRPr="008B0076">
        <w:t xml:space="preserve">, </w:t>
      </w:r>
      <w:hyperlink r:id="rId48" w:tooltip="Uredba o izmjeni i dopuni Uredbe o nazivima radnih mjesta i koeficijentima složenosti poslova u državnoj službi" w:history="1">
        <w:r w:rsidRPr="008B0076">
          <w:t>96/13</w:t>
        </w:r>
      </w:hyperlink>
      <w:r w:rsidRPr="008B0076">
        <w:t xml:space="preserve">, </w:t>
      </w:r>
      <w:hyperlink r:id="rId49" w:tooltip="Uredba o izmjenama i dopunama Uredbe o nazivima radnih mjesta i koeficijentima složenosti poslova u državnoj službi" w:history="1">
        <w:r w:rsidRPr="008B0076">
          <w:t>126/13</w:t>
        </w:r>
      </w:hyperlink>
      <w:r w:rsidRPr="008B0076">
        <w:t xml:space="preserve">, </w:t>
      </w:r>
      <w:hyperlink r:id="rId50" w:tooltip="Uredba o izmjenama i dopunama Uredbe o nazivima radnih mjesta i koeficijentima složenosti poslova u državnoj službi" w:history="1">
        <w:r w:rsidRPr="008B0076">
          <w:t>2/14</w:t>
        </w:r>
      </w:hyperlink>
      <w:r w:rsidRPr="008B0076">
        <w:t xml:space="preserve">, </w:t>
      </w:r>
      <w:hyperlink r:id="rId51" w:tooltip="Uredba o izmjenama i dopunama Uredbe o nazivima radnih mjesta i koeficijentima složenosti poslova u državnoj službi" w:history="1">
        <w:r w:rsidRPr="008B0076">
          <w:t>94/14</w:t>
        </w:r>
      </w:hyperlink>
      <w:r w:rsidRPr="008B0076">
        <w:t xml:space="preserve">, </w:t>
      </w:r>
      <w:hyperlink r:id="rId52" w:tooltip="Uredba o izmjeni Uredbe o nazivima radnih mjesta i koeficijentima složenosti poslova u državnoj službi" w:history="1">
        <w:r w:rsidRPr="008B0076">
          <w:t>140/14</w:t>
        </w:r>
      </w:hyperlink>
      <w:r w:rsidRPr="008B0076">
        <w:t xml:space="preserve">, </w:t>
      </w:r>
      <w:hyperlink r:id="rId53" w:tooltip="Uredba o izmjenama i dopunama Uredbe o nazivima radnih mjesta i koeficijentima složenosti poslova u državnoj službi" w:history="1">
        <w:r w:rsidRPr="008B0076">
          <w:t>151/14</w:t>
        </w:r>
      </w:hyperlink>
      <w:r w:rsidRPr="008B0076">
        <w:t xml:space="preserve">, </w:t>
      </w:r>
      <w:hyperlink r:id="rId54" w:tooltip="Uredba o dopunama Uredbe o nazivima radnih mjesta i koeficijentima složenosti poslova u državnoj službi" w:history="1">
        <w:r w:rsidR="00E44860">
          <w:t>76/</w:t>
        </w:r>
        <w:r w:rsidRPr="008B0076">
          <w:t>15</w:t>
        </w:r>
      </w:hyperlink>
      <w:r w:rsidRPr="008B0076">
        <w:t xml:space="preserve">, </w:t>
      </w:r>
      <w:hyperlink r:id="rId55" w:tooltip="Uredba o izmjeni Uredbe o nazivima radnih mjesta i koeficijentima složenosti poslova u državnoj službi" w:history="1">
        <w:r w:rsidR="00E44860">
          <w:t>100/</w:t>
        </w:r>
        <w:r w:rsidRPr="008B0076">
          <w:t>15</w:t>
        </w:r>
      </w:hyperlink>
      <w:r w:rsidRPr="008B0076">
        <w:t xml:space="preserve">, </w:t>
      </w:r>
      <w:hyperlink r:id="rId56" w:tooltip="Uredba o izmjenama i dopunama Uredbe o nazivima radnih mjesta i koeficijentima složenosti poslova u državnoj službi" w:history="1">
        <w:r w:rsidR="00E44860">
          <w:t>71/</w:t>
        </w:r>
        <w:r w:rsidRPr="008B0076">
          <w:t>18</w:t>
        </w:r>
      </w:hyperlink>
      <w:r w:rsidRPr="008B0076">
        <w:t xml:space="preserve">, </w:t>
      </w:r>
      <w:hyperlink r:id="rId57" w:tooltip="Uredba o izmjenama i dopunama Uredbe o plaćama, dodacima i naknadama u službi vanjskih poslova" w:history="1">
        <w:r w:rsidRPr="008B0076">
          <w:t>15/19</w:t>
        </w:r>
      </w:hyperlink>
      <w:r w:rsidRPr="008B0076">
        <w:t xml:space="preserve">, </w:t>
      </w:r>
      <w:hyperlink r:id="rId58" w:tooltip="Uredba o izmjenama i dopunama Uredbe o nazivima radnih mjesta i koeficijentima složenosti poslova u državnoj službi" w:history="1">
        <w:r w:rsidRPr="008B0076">
          <w:t>73/19</w:t>
        </w:r>
      </w:hyperlink>
      <w:r w:rsidRPr="008B0076">
        <w:t xml:space="preserve">, </w:t>
      </w:r>
      <w:hyperlink r:id="rId59" w:tooltip="Uredba o izmjenama i dopunama Uredbe o nazivima radnih mjesta i koeficijentima složenosti poslova u državnoj službi" w:history="1">
        <w:r w:rsidRPr="008B0076">
          <w:t>63/21</w:t>
        </w:r>
      </w:hyperlink>
      <w:r>
        <w:t xml:space="preserve">, </w:t>
      </w:r>
      <w:r w:rsidRPr="008B0076">
        <w:t>13/22</w:t>
      </w:r>
      <w:r>
        <w:t>, 139/22, 26/23 i 87/23</w:t>
      </w:r>
      <w:r w:rsidRPr="008B0076">
        <w:t>)</w:t>
      </w:r>
      <w:r>
        <w:t>.</w:t>
      </w:r>
    </w:p>
    <w:p w14:paraId="07500AEA" w14:textId="77777777" w:rsidR="0011667F" w:rsidRDefault="0011667F" w:rsidP="0011667F">
      <w:pPr>
        <w:jc w:val="both"/>
      </w:pPr>
    </w:p>
    <w:p w14:paraId="24BF6B6E" w14:textId="77777777" w:rsidR="0011667F" w:rsidRDefault="0011667F" w:rsidP="0011667F">
      <w:pPr>
        <w:jc w:val="center"/>
        <w:rPr>
          <w:b/>
          <w:bCs/>
        </w:rPr>
      </w:pPr>
      <w:r w:rsidRPr="00890258">
        <w:rPr>
          <w:b/>
          <w:bCs/>
        </w:rPr>
        <w:t>Sadržaj testiranja</w:t>
      </w:r>
    </w:p>
    <w:p w14:paraId="5E892C2F" w14:textId="77777777" w:rsidR="0011667F" w:rsidRPr="00890258" w:rsidRDefault="0011667F" w:rsidP="0011667F">
      <w:pPr>
        <w:jc w:val="center"/>
        <w:rPr>
          <w:b/>
          <w:bCs/>
        </w:rPr>
      </w:pPr>
    </w:p>
    <w:p w14:paraId="4F70DD04" w14:textId="77777777" w:rsidR="0011667F" w:rsidRPr="000168D3" w:rsidRDefault="0011667F" w:rsidP="0011667F">
      <w:pPr>
        <w:pStyle w:val="Bezproreda"/>
        <w:jc w:val="both"/>
        <w:rPr>
          <w:b/>
          <w:bCs/>
        </w:rPr>
      </w:pPr>
      <w:r w:rsidRPr="009A3557">
        <w:t xml:space="preserve"> </w:t>
      </w:r>
      <w:r w:rsidRPr="009A3557">
        <w:rPr>
          <w:rFonts w:eastAsia="Calibri"/>
        </w:rPr>
        <w:t xml:space="preserve"> </w:t>
      </w:r>
      <w:r w:rsidRPr="000168D3">
        <w:rPr>
          <w:b/>
          <w:bCs/>
        </w:rPr>
        <w:t>Pisana provjera znanja</w:t>
      </w:r>
    </w:p>
    <w:p w14:paraId="37DBC968" w14:textId="77777777" w:rsidR="0011667F" w:rsidRPr="00890258" w:rsidRDefault="0011667F" w:rsidP="0011667F">
      <w:pPr>
        <w:pStyle w:val="Bezproreda"/>
        <w:jc w:val="both"/>
        <w:rPr>
          <w:u w:val="single"/>
        </w:rPr>
      </w:pPr>
    </w:p>
    <w:p w14:paraId="05CA644A" w14:textId="77777777" w:rsidR="0011667F" w:rsidRDefault="0011667F" w:rsidP="0011667F">
      <w:pPr>
        <w:pStyle w:val="Bezproreda"/>
        <w:jc w:val="both"/>
      </w:pPr>
      <w:r>
        <w:tab/>
      </w:r>
      <w:r w:rsidRPr="00D77F58">
        <w:t xml:space="preserve">Cilj pisane provjere znanja je ocijeniti sposobnost kandidata za prepoznavanje pravnih problema u pojedinim predmetima, predlaganje mogućih </w:t>
      </w:r>
      <w:proofErr w:type="spellStart"/>
      <w:r w:rsidRPr="00D77F58">
        <w:t>materijalnopravnih</w:t>
      </w:r>
      <w:proofErr w:type="spellEnd"/>
      <w:r w:rsidRPr="00D77F58">
        <w:t xml:space="preserve"> i </w:t>
      </w:r>
      <w:proofErr w:type="spellStart"/>
      <w:r w:rsidRPr="00D77F58">
        <w:t>postupovnih</w:t>
      </w:r>
      <w:proofErr w:type="spellEnd"/>
      <w:r w:rsidRPr="00D77F58">
        <w:t xml:space="preserve"> rješenja te sposobnost postupanja u uvjetima ograničenog vremena.</w:t>
      </w:r>
    </w:p>
    <w:p w14:paraId="407625A0" w14:textId="77777777" w:rsidR="0011667F" w:rsidRPr="009C3365" w:rsidRDefault="0011667F" w:rsidP="0011667F">
      <w:pPr>
        <w:pStyle w:val="Bezproreda"/>
        <w:jc w:val="both"/>
      </w:pPr>
    </w:p>
    <w:p w14:paraId="0F8E548D" w14:textId="77777777" w:rsidR="0011667F" w:rsidRDefault="0011667F" w:rsidP="0011667F">
      <w:pPr>
        <w:pStyle w:val="Bezproreda"/>
        <w:jc w:val="both"/>
      </w:pPr>
      <w:r>
        <w:tab/>
      </w:r>
      <w:r w:rsidRPr="00D77F58">
        <w:t>Na temelju rezultata pisane provjere znanja kandidat može ostvariti najviše 40 bodova.</w:t>
      </w:r>
    </w:p>
    <w:p w14:paraId="624E6E80" w14:textId="77777777" w:rsidR="0011667F" w:rsidRDefault="0011667F" w:rsidP="0011667F">
      <w:pPr>
        <w:pStyle w:val="Bezproreda"/>
        <w:jc w:val="both"/>
      </w:pPr>
    </w:p>
    <w:p w14:paraId="75F21710" w14:textId="77777777" w:rsidR="0011667F" w:rsidRDefault="0011667F" w:rsidP="0011667F">
      <w:pPr>
        <w:pStyle w:val="Bezproreda"/>
        <w:jc w:val="both"/>
      </w:pPr>
      <w:r>
        <w:tab/>
      </w:r>
      <w:r w:rsidRPr="00D77F58">
        <w:t>Na pisanoj provjeri znanja kandidat mora:</w:t>
      </w:r>
    </w:p>
    <w:p w14:paraId="636BB699" w14:textId="77777777" w:rsidR="0011667F" w:rsidRDefault="0011667F" w:rsidP="0011667F">
      <w:pPr>
        <w:pStyle w:val="Bezproreda"/>
        <w:jc w:val="both"/>
      </w:pPr>
      <w:r w:rsidRPr="00D77F58">
        <w:t>– odabrati među predloženim odgovorima (višestruki odabir) ili</w:t>
      </w:r>
    </w:p>
    <w:p w14:paraId="3648FA1A" w14:textId="77777777" w:rsidR="0011667F" w:rsidRDefault="0011667F" w:rsidP="0011667F">
      <w:pPr>
        <w:pStyle w:val="Bezproreda"/>
        <w:jc w:val="both"/>
      </w:pPr>
      <w:r w:rsidRPr="00D77F58">
        <w:t>– dopuniti ponuđenu tvrdnju ključnim pojmom koji nedostaje.</w:t>
      </w:r>
    </w:p>
    <w:p w14:paraId="28AF8E37" w14:textId="77777777" w:rsidR="0011667F" w:rsidRDefault="0011667F" w:rsidP="0011667F">
      <w:pPr>
        <w:pStyle w:val="Bezproreda"/>
        <w:jc w:val="both"/>
      </w:pPr>
    </w:p>
    <w:p w14:paraId="71EF947E" w14:textId="77777777" w:rsidR="0011667F" w:rsidRDefault="0011667F" w:rsidP="0011667F">
      <w:pPr>
        <w:pStyle w:val="Bezproreda"/>
        <w:jc w:val="both"/>
      </w:pPr>
      <w:r>
        <w:tab/>
      </w:r>
      <w:r w:rsidRPr="00D77F58">
        <w:t xml:space="preserve">Kandidati pisanu provjeru znanja izrađuju pod osobnom zaporkom koju određuje Povjerenstvo za izbor vježbenika (u daljnjem tekstu: Povjerenstvo). Članovi </w:t>
      </w:r>
      <w:r>
        <w:t>P</w:t>
      </w:r>
      <w:r w:rsidRPr="00D77F58">
        <w:t>ovjerenstva koji ocjenjuju pisanu provjeru znanja ne smiju znati identitet kandidata.</w:t>
      </w:r>
      <w:r>
        <w:t xml:space="preserve"> </w:t>
      </w:r>
      <w:r w:rsidRPr="00D77F58">
        <w:t>Sadržaj pisane provjere znanja utvrđuje Povjerenstvo.</w:t>
      </w:r>
    </w:p>
    <w:p w14:paraId="0F208EAD" w14:textId="77777777" w:rsidR="0011667F" w:rsidRDefault="0011667F" w:rsidP="0011667F">
      <w:pPr>
        <w:pStyle w:val="Bezproreda"/>
        <w:jc w:val="both"/>
      </w:pPr>
    </w:p>
    <w:p w14:paraId="6F0E41B6" w14:textId="77777777" w:rsidR="0011667F" w:rsidRDefault="0011667F" w:rsidP="0011667F">
      <w:pPr>
        <w:pStyle w:val="Bezproreda"/>
        <w:jc w:val="both"/>
      </w:pPr>
      <w:r>
        <w:tab/>
      </w:r>
      <w:r w:rsidRPr="00D77F58">
        <w:t>Pisana provjera znanja traje dva sata i sastoji se od 40 pitanja ili zadataka, pri čemu se za svaki točan odgovor dobiva jedan bod.</w:t>
      </w:r>
    </w:p>
    <w:p w14:paraId="10FBCC2B" w14:textId="77777777" w:rsidR="0011667F" w:rsidRDefault="0011667F" w:rsidP="0011667F">
      <w:pPr>
        <w:pStyle w:val="Bezproreda"/>
        <w:jc w:val="both"/>
      </w:pPr>
    </w:p>
    <w:p w14:paraId="26D45A93" w14:textId="77777777" w:rsidR="0011667F" w:rsidRDefault="0011667F" w:rsidP="0011667F">
      <w:pPr>
        <w:spacing w:after="225"/>
        <w:jc w:val="both"/>
      </w:pPr>
      <w:r>
        <w:tab/>
      </w:r>
      <w:r w:rsidRPr="00D77F58">
        <w:t>Prije početka testiranja vrši se uvid u identifikacijsku ispravu radi utvrđivanja statusa kandidata. Kandidati koji ne mogu dokazati identitet te osobe za koje se utvrdi da nisu podnijele prijavu na javni natječaj za mjesto za koje se obavlja testiranje, ne mogu pristupiti testiranju</w:t>
      </w:r>
      <w:r>
        <w:t>.</w:t>
      </w:r>
    </w:p>
    <w:p w14:paraId="3BA381C9" w14:textId="77777777" w:rsidR="0011667F" w:rsidRDefault="0011667F" w:rsidP="0011667F">
      <w:pPr>
        <w:pStyle w:val="Bezproreda"/>
        <w:jc w:val="both"/>
      </w:pPr>
      <w:r>
        <w:lastRenderedPageBreak/>
        <w:tab/>
      </w:r>
      <w:r w:rsidRPr="00865D0C">
        <w:t xml:space="preserve">Za vrijeme pisane provjere kandidatima </w:t>
      </w:r>
      <w:r w:rsidRPr="00F42E22">
        <w:rPr>
          <w:bCs/>
          <w:u w:val="single"/>
        </w:rPr>
        <w:t>nije dopušteno</w:t>
      </w:r>
      <w:r w:rsidRPr="00F42E22">
        <w:rPr>
          <w:bCs/>
        </w:rPr>
        <w:t>:</w:t>
      </w:r>
    </w:p>
    <w:p w14:paraId="0AB6C155" w14:textId="77777777" w:rsidR="0011667F" w:rsidRPr="00865D0C" w:rsidRDefault="0011667F" w:rsidP="0011667F">
      <w:pPr>
        <w:pStyle w:val="Bezproreda"/>
        <w:numPr>
          <w:ilvl w:val="0"/>
          <w:numId w:val="6"/>
        </w:numPr>
        <w:ind w:left="0"/>
        <w:jc w:val="both"/>
      </w:pPr>
      <w:r w:rsidRPr="00865D0C">
        <w:t>koristiti se bilo kakvim pravnim materijalima, kao što su tekstovi propisa, stručna literatura ili bilješke;</w:t>
      </w:r>
    </w:p>
    <w:p w14:paraId="20238E08" w14:textId="77777777" w:rsidR="0011667F" w:rsidRPr="00865D0C" w:rsidRDefault="0011667F" w:rsidP="0011667F">
      <w:pPr>
        <w:pStyle w:val="Odlomakpopisa"/>
        <w:numPr>
          <w:ilvl w:val="0"/>
          <w:numId w:val="6"/>
        </w:numPr>
        <w:spacing w:after="225" w:line="240" w:lineRule="auto"/>
        <w:ind w:left="0"/>
        <w:jc w:val="both"/>
        <w:rPr>
          <w:rFonts w:ascii="Times New Roman" w:eastAsia="Times New Roman" w:hAnsi="Times New Roman" w:cs="Times New Roman"/>
          <w:sz w:val="24"/>
          <w:szCs w:val="24"/>
          <w:lang w:eastAsia="hr-HR"/>
        </w:rPr>
      </w:pPr>
      <w:r w:rsidRPr="00865D0C">
        <w:rPr>
          <w:rFonts w:ascii="Times New Roman" w:eastAsia="Times New Roman" w:hAnsi="Times New Roman" w:cs="Times New Roman"/>
          <w:sz w:val="24"/>
          <w:szCs w:val="24"/>
          <w:lang w:eastAsia="hr-HR"/>
        </w:rPr>
        <w:t>koristiti mobitel ili druga komunikacijska sredstva ili tehnička pomagala;</w:t>
      </w:r>
    </w:p>
    <w:p w14:paraId="0F0C8C92" w14:textId="77777777" w:rsidR="0011667F" w:rsidRPr="00865D0C" w:rsidRDefault="0011667F" w:rsidP="0011667F">
      <w:pPr>
        <w:pStyle w:val="Odlomakpopisa"/>
        <w:numPr>
          <w:ilvl w:val="0"/>
          <w:numId w:val="6"/>
        </w:numPr>
        <w:spacing w:after="225" w:line="240" w:lineRule="auto"/>
        <w:ind w:left="0"/>
        <w:jc w:val="both"/>
        <w:rPr>
          <w:rFonts w:ascii="Times New Roman" w:eastAsia="Times New Roman" w:hAnsi="Times New Roman" w:cs="Times New Roman"/>
          <w:sz w:val="24"/>
          <w:szCs w:val="24"/>
          <w:lang w:eastAsia="hr-HR"/>
        </w:rPr>
      </w:pPr>
      <w:r w:rsidRPr="00865D0C">
        <w:rPr>
          <w:rFonts w:ascii="Times New Roman" w:eastAsia="Times New Roman" w:hAnsi="Times New Roman" w:cs="Times New Roman"/>
          <w:sz w:val="24"/>
          <w:szCs w:val="24"/>
          <w:lang w:eastAsia="hr-HR"/>
        </w:rPr>
        <w:t>bez odobrenja napuštati prostoriju u kojoj se održava pisana provjera;</w:t>
      </w:r>
    </w:p>
    <w:p w14:paraId="6F797156" w14:textId="77777777" w:rsidR="0011667F" w:rsidRPr="00865D0C" w:rsidRDefault="0011667F" w:rsidP="0011667F">
      <w:pPr>
        <w:pStyle w:val="Odlomakpopisa"/>
        <w:numPr>
          <w:ilvl w:val="0"/>
          <w:numId w:val="6"/>
        </w:numPr>
        <w:spacing w:after="225" w:line="240" w:lineRule="auto"/>
        <w:ind w:left="0"/>
        <w:jc w:val="both"/>
        <w:rPr>
          <w:rFonts w:ascii="Times New Roman" w:eastAsia="Times New Roman" w:hAnsi="Times New Roman" w:cs="Times New Roman"/>
          <w:sz w:val="24"/>
          <w:szCs w:val="24"/>
          <w:lang w:eastAsia="hr-HR"/>
        </w:rPr>
      </w:pPr>
      <w:r w:rsidRPr="00865D0C">
        <w:rPr>
          <w:rFonts w:ascii="Times New Roman" w:eastAsia="Times New Roman" w:hAnsi="Times New Roman" w:cs="Times New Roman"/>
          <w:sz w:val="24"/>
          <w:szCs w:val="24"/>
          <w:lang w:eastAsia="hr-HR"/>
        </w:rPr>
        <w:t>razgovarati s ostalim kandidatima niti na drugi način remetiti koncentraciju kandidata.</w:t>
      </w:r>
    </w:p>
    <w:p w14:paraId="20FDE834" w14:textId="77777777" w:rsidR="0011667F" w:rsidRDefault="0011667F" w:rsidP="0011667F">
      <w:pPr>
        <w:jc w:val="both"/>
      </w:pPr>
      <w:r>
        <w:tab/>
      </w:r>
      <w:r w:rsidRPr="00865D0C">
        <w:t>Ukoliko pojedini kandidat prekrši gornja pravila oduzet će mu se do tada napisana radnja, udaljit će se s mjesta provjere znanja i utvrdit će se da više nije kandidat.</w:t>
      </w:r>
    </w:p>
    <w:p w14:paraId="1FB07EA9" w14:textId="77777777" w:rsidR="000168D3" w:rsidRDefault="000168D3" w:rsidP="0008027B">
      <w:pPr>
        <w:pStyle w:val="Bezproreda"/>
        <w:jc w:val="center"/>
        <w:rPr>
          <w:b/>
          <w:bCs/>
        </w:rPr>
      </w:pPr>
    </w:p>
    <w:p w14:paraId="7489E047" w14:textId="1ABB54CA" w:rsidR="0011667F" w:rsidRDefault="0011667F" w:rsidP="000168D3">
      <w:pPr>
        <w:pStyle w:val="Bezproreda"/>
        <w:rPr>
          <w:b/>
          <w:bCs/>
        </w:rPr>
      </w:pPr>
      <w:r w:rsidRPr="0008027B">
        <w:rPr>
          <w:b/>
          <w:bCs/>
        </w:rPr>
        <w:t>Pravni izvori za pisanu provjeru znanja</w:t>
      </w:r>
    </w:p>
    <w:p w14:paraId="60371138" w14:textId="77777777" w:rsidR="0008027B" w:rsidRPr="0008027B" w:rsidRDefault="0008027B" w:rsidP="0008027B">
      <w:pPr>
        <w:pStyle w:val="Bezproreda"/>
        <w:jc w:val="center"/>
        <w:rPr>
          <w:b/>
          <w:bCs/>
        </w:rPr>
      </w:pPr>
    </w:p>
    <w:p w14:paraId="686DF169" w14:textId="77777777" w:rsidR="0011667F" w:rsidRPr="0008027B" w:rsidRDefault="0011667F" w:rsidP="0011667F">
      <w:pPr>
        <w:pStyle w:val="Bezproreda"/>
        <w:jc w:val="both"/>
        <w:rPr>
          <w:b/>
          <w:bCs/>
        </w:rPr>
      </w:pPr>
      <w:r w:rsidRPr="0008027B">
        <w:rPr>
          <w:b/>
          <w:bCs/>
        </w:rPr>
        <w:t>Građansko pravo </w:t>
      </w:r>
    </w:p>
    <w:p w14:paraId="5CD33F74" w14:textId="40064673" w:rsidR="0011667F" w:rsidRDefault="0011667F" w:rsidP="0011667F">
      <w:pPr>
        <w:pStyle w:val="Bezproreda"/>
        <w:jc w:val="both"/>
      </w:pPr>
      <w:r>
        <w:t xml:space="preserve">- </w:t>
      </w:r>
      <w:r w:rsidRPr="00FA73E8">
        <w:t xml:space="preserve">Zakon o vlasništvu i drugim stvarnim pravima („Narodne novine“, </w:t>
      </w:r>
      <w:r w:rsidR="00041D67">
        <w:t>broj 81/15 – pročišćeni tekst, 94/17 - ispravak)</w:t>
      </w:r>
    </w:p>
    <w:p w14:paraId="2F363E14" w14:textId="7DCB1915" w:rsidR="0011667F" w:rsidRDefault="0011667F" w:rsidP="0011667F">
      <w:pPr>
        <w:pStyle w:val="Bezproreda"/>
        <w:jc w:val="both"/>
      </w:pPr>
      <w:r>
        <w:t xml:space="preserve">- </w:t>
      </w:r>
      <w:r w:rsidRPr="00FA73E8">
        <w:t>Zakon o zemljišnim knjigama („Narodne novine“, broj 63/19</w:t>
      </w:r>
      <w:r>
        <w:t xml:space="preserve"> i 128/22</w:t>
      </w:r>
      <w:r w:rsidRPr="00FA73E8">
        <w:t>)</w:t>
      </w:r>
    </w:p>
    <w:p w14:paraId="4EF83F2F" w14:textId="738E4279" w:rsidR="0011667F" w:rsidRDefault="0011667F" w:rsidP="0011667F">
      <w:pPr>
        <w:pStyle w:val="Bezproreda"/>
        <w:jc w:val="both"/>
      </w:pPr>
      <w:r>
        <w:t xml:space="preserve">- </w:t>
      </w:r>
      <w:r w:rsidRPr="00FA73E8">
        <w:t xml:space="preserve">Zakon o nasljeđivanju („Narodne novine“, broj 48/03, 163/03, 35/05, 127/13, 33/15 i 14/19 – </w:t>
      </w:r>
      <w:proofErr w:type="spellStart"/>
      <w:r w:rsidRPr="00FA73E8">
        <w:t>materijalnopravne</w:t>
      </w:r>
      <w:proofErr w:type="spellEnd"/>
      <w:r w:rsidRPr="00FA73E8">
        <w:t xml:space="preserve"> odredbe) </w:t>
      </w:r>
    </w:p>
    <w:p w14:paraId="249CD793" w14:textId="339901EF" w:rsidR="0011667F" w:rsidRDefault="0011667F" w:rsidP="0011667F">
      <w:pPr>
        <w:pStyle w:val="Bezproreda"/>
        <w:jc w:val="both"/>
      </w:pPr>
      <w:r>
        <w:t xml:space="preserve">- </w:t>
      </w:r>
      <w:r w:rsidRPr="00FA73E8">
        <w:t>Zakon o obveznim odnosima („Narodne novine“, broj 35/05, 41/08, 125/11, 78/15</w:t>
      </w:r>
      <w:r>
        <w:t xml:space="preserve">, </w:t>
      </w:r>
      <w:r w:rsidRPr="00FA73E8">
        <w:t>29/18</w:t>
      </w:r>
      <w:r>
        <w:t>, 126/21, 114/22 i 156/22</w:t>
      </w:r>
      <w:r w:rsidRPr="00FA73E8">
        <w:t xml:space="preserve">) </w:t>
      </w:r>
    </w:p>
    <w:p w14:paraId="3006F2A7" w14:textId="0FEC0FE9" w:rsidR="0011667F" w:rsidRPr="00FA73E8" w:rsidRDefault="0011667F" w:rsidP="0011667F">
      <w:pPr>
        <w:pStyle w:val="Bezproreda"/>
        <w:jc w:val="both"/>
      </w:pPr>
      <w:r>
        <w:t xml:space="preserve">- </w:t>
      </w:r>
      <w:r w:rsidRPr="00FA73E8">
        <w:t>Zakon o rokovima ispunjenja novčanih obveza („Narodne novine”, broj 125/11)</w:t>
      </w:r>
    </w:p>
    <w:p w14:paraId="1597B8C0" w14:textId="77777777" w:rsidR="0011667F" w:rsidRDefault="0011667F" w:rsidP="0011667F">
      <w:pPr>
        <w:pStyle w:val="Bezproreda"/>
        <w:jc w:val="both"/>
      </w:pPr>
      <w:r w:rsidRPr="001913CD">
        <w:t xml:space="preserve">Trgovačko pravo  </w:t>
      </w:r>
    </w:p>
    <w:p w14:paraId="78976D8C" w14:textId="6B1D4114" w:rsidR="0011667F" w:rsidRDefault="0011667F" w:rsidP="0011667F">
      <w:pPr>
        <w:pStyle w:val="Bezproreda"/>
        <w:jc w:val="both"/>
      </w:pPr>
      <w:r>
        <w:t xml:space="preserve">- </w:t>
      </w:r>
      <w:r w:rsidRPr="001913CD">
        <w:t>Zakon o trgovačkim društvima („Narodne novine”, broj 152/11 - pročišćeni tekst, 111/12, 68/13, 110/15</w:t>
      </w:r>
      <w:r>
        <w:t xml:space="preserve">, </w:t>
      </w:r>
      <w:r w:rsidRPr="001913CD">
        <w:t>40/19</w:t>
      </w:r>
      <w:r w:rsidR="00E44860">
        <w:t xml:space="preserve">, 34/22, 114/22, </w:t>
      </w:r>
      <w:r>
        <w:t>18/23</w:t>
      </w:r>
      <w:r w:rsidR="00C518BE">
        <w:t xml:space="preserve"> i </w:t>
      </w:r>
      <w:r w:rsidR="00E44860">
        <w:t>130/23</w:t>
      </w:r>
      <w:r w:rsidRPr="001913CD">
        <w:t xml:space="preserve">) </w:t>
      </w:r>
    </w:p>
    <w:p w14:paraId="6096E618" w14:textId="77777777" w:rsidR="0008027B" w:rsidRPr="001913CD" w:rsidRDefault="0008027B" w:rsidP="0011667F">
      <w:pPr>
        <w:pStyle w:val="Bezproreda"/>
        <w:jc w:val="both"/>
      </w:pPr>
    </w:p>
    <w:p w14:paraId="64527EDB" w14:textId="77777777" w:rsidR="0011667F" w:rsidRPr="0008027B" w:rsidRDefault="0011667F" w:rsidP="0011667F">
      <w:pPr>
        <w:pStyle w:val="Bezproreda"/>
        <w:jc w:val="both"/>
        <w:rPr>
          <w:b/>
          <w:bCs/>
        </w:rPr>
      </w:pPr>
      <w:r w:rsidRPr="0008027B">
        <w:rPr>
          <w:b/>
          <w:bCs/>
        </w:rPr>
        <w:t xml:space="preserve">Građansko </w:t>
      </w:r>
      <w:proofErr w:type="spellStart"/>
      <w:r w:rsidRPr="0008027B">
        <w:rPr>
          <w:b/>
          <w:bCs/>
        </w:rPr>
        <w:t>postupovno</w:t>
      </w:r>
      <w:proofErr w:type="spellEnd"/>
      <w:r w:rsidRPr="0008027B">
        <w:rPr>
          <w:b/>
          <w:bCs/>
        </w:rPr>
        <w:t xml:space="preserve"> pravo  </w:t>
      </w:r>
    </w:p>
    <w:p w14:paraId="4BD98015" w14:textId="18061923" w:rsidR="0011667F" w:rsidRDefault="0011667F" w:rsidP="0011667F">
      <w:pPr>
        <w:pStyle w:val="Bezproreda"/>
        <w:jc w:val="both"/>
      </w:pPr>
      <w:r>
        <w:t xml:space="preserve">- </w:t>
      </w:r>
      <w:r w:rsidRPr="001913CD">
        <w:t>Zakon o parničnom postupku („Narodne novine“, 148/11 – pročišćeni tekst, 25/13, 89/14</w:t>
      </w:r>
      <w:r>
        <w:t xml:space="preserve">, </w:t>
      </w:r>
      <w:r w:rsidRPr="001913CD">
        <w:t>70/19</w:t>
      </w:r>
      <w:r>
        <w:t>, 80/22 i 114/22</w:t>
      </w:r>
      <w:r w:rsidRPr="001913CD">
        <w:t xml:space="preserve">) </w:t>
      </w:r>
    </w:p>
    <w:p w14:paraId="72138E60" w14:textId="20DD3C4A" w:rsidR="0011667F" w:rsidRDefault="0011667F" w:rsidP="0011667F">
      <w:pPr>
        <w:pStyle w:val="Bezproreda"/>
        <w:jc w:val="both"/>
      </w:pPr>
      <w:r>
        <w:t xml:space="preserve">- </w:t>
      </w:r>
      <w:r w:rsidRPr="001913CD">
        <w:t xml:space="preserve">Zakon o nasljeđivanju („Narodne novine“, broj 48/03, 163/03, 35/05, 127/13, 33/15 i 14/19 - </w:t>
      </w:r>
      <w:proofErr w:type="spellStart"/>
      <w:r w:rsidRPr="001913CD">
        <w:t>postupovne</w:t>
      </w:r>
      <w:proofErr w:type="spellEnd"/>
      <w:r w:rsidRPr="001913CD">
        <w:t xml:space="preserve"> odredbe) </w:t>
      </w:r>
    </w:p>
    <w:p w14:paraId="625EB8E6" w14:textId="77777777" w:rsidR="0008027B" w:rsidRPr="001913CD" w:rsidRDefault="0008027B" w:rsidP="0011667F">
      <w:pPr>
        <w:pStyle w:val="Bezproreda"/>
        <w:jc w:val="both"/>
      </w:pPr>
    </w:p>
    <w:p w14:paraId="7349F687" w14:textId="77777777" w:rsidR="0011667F" w:rsidRPr="0008027B" w:rsidRDefault="0011667F" w:rsidP="0011667F">
      <w:pPr>
        <w:pStyle w:val="Bezproreda"/>
        <w:jc w:val="both"/>
        <w:rPr>
          <w:b/>
          <w:bCs/>
        </w:rPr>
      </w:pPr>
      <w:r w:rsidRPr="0008027B">
        <w:rPr>
          <w:b/>
          <w:bCs/>
        </w:rPr>
        <w:t xml:space="preserve">Obiteljsko pravo  </w:t>
      </w:r>
    </w:p>
    <w:p w14:paraId="77838A68" w14:textId="55BE78DF" w:rsidR="0011667F" w:rsidRDefault="0011667F" w:rsidP="0011667F">
      <w:pPr>
        <w:pStyle w:val="Bezproreda"/>
        <w:jc w:val="both"/>
      </w:pPr>
      <w:r>
        <w:t xml:space="preserve">- </w:t>
      </w:r>
      <w:r w:rsidRPr="001913CD">
        <w:t>Obiteljski zakon („Narodne novine“, broj 103/15</w:t>
      </w:r>
      <w:r>
        <w:t xml:space="preserve">, </w:t>
      </w:r>
      <w:r w:rsidRPr="001913CD">
        <w:t>98/19</w:t>
      </w:r>
      <w:r>
        <w:t>, 47/20 i 49/23</w:t>
      </w:r>
      <w:r w:rsidRPr="001913CD">
        <w:t xml:space="preserve">) </w:t>
      </w:r>
    </w:p>
    <w:p w14:paraId="072FE8FE" w14:textId="77777777" w:rsidR="0008027B" w:rsidRPr="001913CD" w:rsidRDefault="0008027B" w:rsidP="0011667F">
      <w:pPr>
        <w:pStyle w:val="Bezproreda"/>
        <w:jc w:val="both"/>
      </w:pPr>
    </w:p>
    <w:p w14:paraId="0C61B13E" w14:textId="77777777" w:rsidR="0011667F" w:rsidRPr="0008027B" w:rsidRDefault="0011667F" w:rsidP="0011667F">
      <w:pPr>
        <w:pStyle w:val="Bezproreda"/>
        <w:jc w:val="both"/>
        <w:rPr>
          <w:b/>
          <w:bCs/>
        </w:rPr>
      </w:pPr>
      <w:r w:rsidRPr="0008027B">
        <w:rPr>
          <w:b/>
          <w:bCs/>
        </w:rPr>
        <w:t xml:space="preserve">Kazneno pravo  </w:t>
      </w:r>
    </w:p>
    <w:p w14:paraId="1AD95BF0" w14:textId="540A13EA" w:rsidR="0011667F" w:rsidRDefault="0011667F" w:rsidP="0011667F">
      <w:pPr>
        <w:pStyle w:val="Bezproreda"/>
        <w:jc w:val="both"/>
      </w:pPr>
      <w:r>
        <w:t xml:space="preserve">- </w:t>
      </w:r>
      <w:r w:rsidRPr="001913CD">
        <w:t>Kazneni zakon („Narodne novine”, broj 125/11, 144/12, 56/15, 61/15, 101/17, 118/18</w:t>
      </w:r>
      <w:r>
        <w:t xml:space="preserve">, </w:t>
      </w:r>
      <w:r w:rsidRPr="001913CD">
        <w:t>126/19</w:t>
      </w:r>
      <w:r>
        <w:t>, 84/21, 114/22 i 114/23</w:t>
      </w:r>
      <w:r w:rsidRPr="001913CD">
        <w:t xml:space="preserve">) </w:t>
      </w:r>
    </w:p>
    <w:p w14:paraId="21AAE854" w14:textId="77777777" w:rsidR="0008027B" w:rsidRPr="001913CD" w:rsidRDefault="0008027B" w:rsidP="0011667F">
      <w:pPr>
        <w:pStyle w:val="Bezproreda"/>
        <w:jc w:val="both"/>
      </w:pPr>
    </w:p>
    <w:p w14:paraId="1FA8B372" w14:textId="77777777" w:rsidR="0011667F" w:rsidRPr="0008027B" w:rsidRDefault="0011667F" w:rsidP="0011667F">
      <w:pPr>
        <w:pStyle w:val="Bezproreda"/>
        <w:jc w:val="both"/>
        <w:rPr>
          <w:b/>
          <w:bCs/>
        </w:rPr>
      </w:pPr>
      <w:r w:rsidRPr="0008027B">
        <w:rPr>
          <w:b/>
          <w:bCs/>
        </w:rPr>
        <w:t xml:space="preserve">Kazneno </w:t>
      </w:r>
      <w:proofErr w:type="spellStart"/>
      <w:r w:rsidRPr="0008027B">
        <w:rPr>
          <w:b/>
          <w:bCs/>
        </w:rPr>
        <w:t>postupovno</w:t>
      </w:r>
      <w:proofErr w:type="spellEnd"/>
      <w:r w:rsidRPr="0008027B">
        <w:rPr>
          <w:b/>
          <w:bCs/>
        </w:rPr>
        <w:t xml:space="preserve"> pravo </w:t>
      </w:r>
    </w:p>
    <w:p w14:paraId="25F8EB2A" w14:textId="04F90DB9" w:rsidR="0011667F" w:rsidRDefault="0011667F" w:rsidP="0011667F">
      <w:pPr>
        <w:pStyle w:val="Bezproreda"/>
        <w:jc w:val="both"/>
      </w:pPr>
      <w:r>
        <w:t xml:space="preserve">- </w:t>
      </w:r>
      <w:r w:rsidRPr="001913CD">
        <w:t xml:space="preserve">Zakon o kaznenom postupku („Narodne novine”, broj </w:t>
      </w:r>
      <w:r w:rsidR="00384D0C" w:rsidRPr="00384D0C">
        <w:t>152/08, 76/09, 80/11, 91/12, 143/12, 56/13, 145/13, 152/14, 70/17, 126/19, 80/22</w:t>
      </w:r>
      <w:r w:rsidR="00384D0C">
        <w:t>)</w:t>
      </w:r>
    </w:p>
    <w:p w14:paraId="71BDD9AA" w14:textId="77777777" w:rsidR="0008027B" w:rsidRPr="001913CD" w:rsidRDefault="0008027B" w:rsidP="0011667F">
      <w:pPr>
        <w:pStyle w:val="Bezproreda"/>
        <w:jc w:val="both"/>
      </w:pPr>
    </w:p>
    <w:p w14:paraId="5962806D" w14:textId="77777777" w:rsidR="0011667F" w:rsidRPr="0008027B" w:rsidRDefault="0011667F" w:rsidP="0011667F">
      <w:pPr>
        <w:pStyle w:val="Bezproreda"/>
        <w:jc w:val="both"/>
        <w:rPr>
          <w:b/>
          <w:bCs/>
        </w:rPr>
      </w:pPr>
      <w:r w:rsidRPr="0008027B">
        <w:rPr>
          <w:b/>
          <w:bCs/>
        </w:rPr>
        <w:t xml:space="preserve">Upravno pravo  </w:t>
      </w:r>
    </w:p>
    <w:p w14:paraId="32E5AB18" w14:textId="1B54528F" w:rsidR="0011667F" w:rsidRDefault="0011667F" w:rsidP="0011667F">
      <w:pPr>
        <w:pStyle w:val="Bezproreda"/>
        <w:jc w:val="both"/>
      </w:pPr>
      <w:r>
        <w:t xml:space="preserve">- </w:t>
      </w:r>
      <w:r w:rsidRPr="00865D0C">
        <w:t>Zakon o općem upravnom postupku („Narodne novine“, broj 47/09</w:t>
      </w:r>
      <w:r>
        <w:t xml:space="preserve"> i 110/21</w:t>
      </w:r>
      <w:r w:rsidRPr="00865D0C">
        <w:t xml:space="preserve">) </w:t>
      </w:r>
    </w:p>
    <w:p w14:paraId="2FE174DD" w14:textId="0B7439A1" w:rsidR="0011667F" w:rsidRDefault="0011667F" w:rsidP="0011667F">
      <w:pPr>
        <w:pStyle w:val="Bezproreda"/>
        <w:jc w:val="both"/>
      </w:pPr>
      <w:r>
        <w:t xml:space="preserve">- </w:t>
      </w:r>
      <w:r w:rsidRPr="00865D0C">
        <w:t>Zakon o upravnim sporovima („Narodne novine“, broj 20/10, 143/12, 152/14, 94/16</w:t>
      </w:r>
      <w:r>
        <w:t xml:space="preserve"> </w:t>
      </w:r>
      <w:r w:rsidR="0008027B">
        <w:t>–</w:t>
      </w:r>
      <w:r w:rsidRPr="00865D0C">
        <w:t xml:space="preserve"> USRH</w:t>
      </w:r>
      <w:r w:rsidR="0008027B">
        <w:t xml:space="preserve">, </w:t>
      </w:r>
      <w:r w:rsidRPr="00865D0C">
        <w:t>29/17</w:t>
      </w:r>
      <w:r>
        <w:t xml:space="preserve"> i 110/21</w:t>
      </w:r>
      <w:r w:rsidRPr="00865D0C">
        <w:t>)</w:t>
      </w:r>
    </w:p>
    <w:p w14:paraId="04D3921C" w14:textId="56870B5C" w:rsidR="00300C27" w:rsidRDefault="00300C27" w:rsidP="0011667F">
      <w:pPr>
        <w:pStyle w:val="Bezproreda"/>
        <w:jc w:val="both"/>
      </w:pPr>
    </w:p>
    <w:p w14:paraId="58C77119" w14:textId="77777777" w:rsidR="00300C27" w:rsidRPr="00300C27" w:rsidRDefault="00300C27" w:rsidP="00300C27">
      <w:pPr>
        <w:jc w:val="both"/>
        <w:rPr>
          <w:b/>
          <w:iCs/>
        </w:rPr>
      </w:pPr>
      <w:r w:rsidRPr="00300C27">
        <w:rPr>
          <w:b/>
          <w:iCs/>
        </w:rPr>
        <w:t xml:space="preserve">Radno pravo  </w:t>
      </w:r>
    </w:p>
    <w:p w14:paraId="382494B3" w14:textId="5CBDDF10" w:rsidR="00300C27" w:rsidRPr="00300C27" w:rsidRDefault="00300C27" w:rsidP="00300C27">
      <w:pPr>
        <w:jc w:val="both"/>
        <w:rPr>
          <w:bCs/>
          <w:iCs/>
        </w:rPr>
      </w:pPr>
      <w:r w:rsidRPr="00300C27">
        <w:rPr>
          <w:iCs/>
        </w:rPr>
        <w:t>Zakon o radu (,,Narodne novine'', broj 93/14, 127/17</w:t>
      </w:r>
      <w:r>
        <w:rPr>
          <w:iCs/>
        </w:rPr>
        <w:t xml:space="preserve">, </w:t>
      </w:r>
      <w:r w:rsidRPr="00300C27">
        <w:rPr>
          <w:iCs/>
        </w:rPr>
        <w:t>98/19</w:t>
      </w:r>
      <w:r>
        <w:rPr>
          <w:iCs/>
        </w:rPr>
        <w:t>, 151/22 i 64/23</w:t>
      </w:r>
      <w:r w:rsidRPr="00300C27">
        <w:rPr>
          <w:iCs/>
        </w:rPr>
        <w:t>)</w:t>
      </w:r>
    </w:p>
    <w:p w14:paraId="774CFE26" w14:textId="77777777" w:rsidR="0011667F" w:rsidRDefault="0011667F" w:rsidP="0011667F">
      <w:pPr>
        <w:pStyle w:val="Bezproreda"/>
        <w:jc w:val="both"/>
      </w:pPr>
    </w:p>
    <w:p w14:paraId="5FBEFD07" w14:textId="77777777" w:rsidR="0011667F" w:rsidRDefault="0011667F" w:rsidP="0011667F">
      <w:pPr>
        <w:pStyle w:val="Bezproreda"/>
        <w:jc w:val="center"/>
        <w:rPr>
          <w:b/>
          <w:bCs/>
        </w:rPr>
      </w:pPr>
      <w:r w:rsidRPr="00F5309D">
        <w:rPr>
          <w:b/>
          <w:bCs/>
        </w:rPr>
        <w:lastRenderedPageBreak/>
        <w:t>Strukturirani razgovor</w:t>
      </w:r>
    </w:p>
    <w:p w14:paraId="3CFDCDE2" w14:textId="77777777" w:rsidR="0011667F" w:rsidRPr="00F5309D" w:rsidRDefault="0011667F" w:rsidP="0011667F">
      <w:pPr>
        <w:pStyle w:val="Bezproreda"/>
        <w:jc w:val="center"/>
        <w:rPr>
          <w:b/>
          <w:bCs/>
        </w:rPr>
      </w:pPr>
    </w:p>
    <w:p w14:paraId="6FD036DB" w14:textId="77777777" w:rsidR="0011667F" w:rsidRDefault="0011667F" w:rsidP="0011667F">
      <w:pPr>
        <w:pStyle w:val="Bezproreda"/>
        <w:jc w:val="both"/>
        <w:rPr>
          <w:rFonts w:eastAsia="Calibri"/>
          <w:lang w:eastAsia="en-US"/>
        </w:rPr>
      </w:pPr>
      <w:r>
        <w:tab/>
      </w:r>
      <w:r w:rsidRPr="00D77F58">
        <w:t>Strukturiranom razgovoru može pristupiti kandidat koji je ostvario najmanje 51 bod</w:t>
      </w:r>
      <w:r>
        <w:t xml:space="preserve"> sa osnova rezultata završenog</w:t>
      </w:r>
      <w:r w:rsidRPr="00F579FF">
        <w:rPr>
          <w:rFonts w:eastAsia="Calibri"/>
        </w:rPr>
        <w:t xml:space="preserve"> </w:t>
      </w:r>
      <w:r w:rsidRPr="005D5F65">
        <w:rPr>
          <w:rFonts w:eastAsia="Calibri"/>
          <w:lang w:eastAsia="en-US"/>
        </w:rPr>
        <w:t>sveučilišn</w:t>
      </w:r>
      <w:r>
        <w:rPr>
          <w:rFonts w:eastAsia="Calibri"/>
          <w:lang w:eastAsia="en-US"/>
        </w:rPr>
        <w:t>og</w:t>
      </w:r>
      <w:r w:rsidRPr="005D5F65">
        <w:rPr>
          <w:rFonts w:eastAsia="Calibri"/>
          <w:lang w:eastAsia="en-US"/>
        </w:rPr>
        <w:t xml:space="preserve"> diplomsk</w:t>
      </w:r>
      <w:r>
        <w:rPr>
          <w:rFonts w:eastAsia="Calibri"/>
          <w:lang w:eastAsia="en-US"/>
        </w:rPr>
        <w:t>og</w:t>
      </w:r>
      <w:r w:rsidRPr="005D5F65">
        <w:rPr>
          <w:rFonts w:eastAsia="Calibri"/>
          <w:lang w:eastAsia="en-US"/>
        </w:rPr>
        <w:t xml:space="preserve"> studij</w:t>
      </w:r>
      <w:r>
        <w:rPr>
          <w:rFonts w:eastAsia="Calibri"/>
          <w:lang w:eastAsia="en-US"/>
        </w:rPr>
        <w:t>a</w:t>
      </w:r>
      <w:r w:rsidRPr="005D5F65">
        <w:rPr>
          <w:rFonts w:eastAsia="Calibri"/>
          <w:lang w:eastAsia="en-US"/>
        </w:rPr>
        <w:t xml:space="preserve"> prava</w:t>
      </w:r>
      <w:r>
        <w:rPr>
          <w:rFonts w:eastAsia="Calibri"/>
          <w:lang w:eastAsia="en-US"/>
        </w:rPr>
        <w:t>, općeg uspjeha ostvarenog na studiju prava i pisane provjere znanja.</w:t>
      </w:r>
    </w:p>
    <w:p w14:paraId="21D57502" w14:textId="77777777" w:rsidR="0011667F" w:rsidRDefault="0011667F" w:rsidP="0011667F">
      <w:pPr>
        <w:pStyle w:val="Bezproreda"/>
        <w:jc w:val="both"/>
      </w:pPr>
    </w:p>
    <w:p w14:paraId="14F69489" w14:textId="77777777" w:rsidR="0011667F" w:rsidRDefault="0011667F" w:rsidP="0011667F">
      <w:pPr>
        <w:pStyle w:val="Bezproreda"/>
        <w:jc w:val="both"/>
      </w:pPr>
      <w:r>
        <w:tab/>
      </w:r>
      <w:r w:rsidRPr="00FA73E8">
        <w:t>Strukturiranim razgovorom ocjenjuju se društvene i komunikacijske vještine kandidata, njegovi profesionalni ciljevi te motivacija za rad u pravosudnim tijelima.</w:t>
      </w:r>
    </w:p>
    <w:p w14:paraId="52AD1832" w14:textId="77777777" w:rsidR="0011667F" w:rsidRDefault="0011667F" w:rsidP="0011667F">
      <w:pPr>
        <w:pStyle w:val="Bezproreda"/>
        <w:jc w:val="both"/>
      </w:pPr>
    </w:p>
    <w:p w14:paraId="55861A7E" w14:textId="77777777" w:rsidR="0011667F" w:rsidRDefault="0011667F" w:rsidP="0011667F">
      <w:pPr>
        <w:pStyle w:val="Bezproreda"/>
        <w:jc w:val="both"/>
      </w:pPr>
      <w:r>
        <w:tab/>
      </w:r>
      <w:r w:rsidRPr="00FA73E8">
        <w:t>Strukturirani razgovor provode članovi Povjerenstva, uz sudjelovanje stručne osobe (psihologa).</w:t>
      </w:r>
    </w:p>
    <w:p w14:paraId="14B335EF" w14:textId="77777777" w:rsidR="0011667F" w:rsidRPr="00416680" w:rsidRDefault="0011667F" w:rsidP="0011667F">
      <w:pPr>
        <w:jc w:val="center"/>
        <w:rPr>
          <w:rFonts w:eastAsia="Calibri"/>
          <w:b/>
          <w:bCs/>
        </w:rPr>
      </w:pPr>
    </w:p>
    <w:p w14:paraId="3A28C35A" w14:textId="77777777" w:rsidR="0011667F" w:rsidRDefault="0011667F" w:rsidP="0011667F">
      <w:pPr>
        <w:jc w:val="center"/>
        <w:rPr>
          <w:b/>
          <w:bCs/>
        </w:rPr>
      </w:pPr>
      <w:r w:rsidRPr="009C3365">
        <w:rPr>
          <w:b/>
          <w:bCs/>
        </w:rPr>
        <w:t>Način utvrđivanja broja bodova</w:t>
      </w:r>
    </w:p>
    <w:p w14:paraId="48DB3002" w14:textId="77777777" w:rsidR="0011667F" w:rsidRPr="009C3365" w:rsidRDefault="0011667F" w:rsidP="0011667F">
      <w:pPr>
        <w:jc w:val="center"/>
        <w:rPr>
          <w:b/>
          <w:bCs/>
          <w:u w:val="single"/>
        </w:rPr>
      </w:pPr>
    </w:p>
    <w:p w14:paraId="1BCD8E2D" w14:textId="77777777" w:rsidR="0011667F" w:rsidRDefault="0011667F" w:rsidP="0011667F">
      <w:pPr>
        <w:jc w:val="both"/>
      </w:pPr>
      <w:r>
        <w:tab/>
      </w:r>
      <w:r w:rsidRPr="00D77F58">
        <w:t>U postupku odabira kandidat može ostvariti najviše 100 bodova</w:t>
      </w:r>
      <w:r>
        <w:t>.</w:t>
      </w:r>
    </w:p>
    <w:p w14:paraId="37D418D5" w14:textId="77777777" w:rsidR="0011667F" w:rsidRDefault="0011667F" w:rsidP="0011667F">
      <w:pPr>
        <w:jc w:val="both"/>
      </w:pPr>
    </w:p>
    <w:p w14:paraId="5EC97DF7" w14:textId="77777777" w:rsidR="0011667F" w:rsidRDefault="0011667F" w:rsidP="0011667F">
      <w:pPr>
        <w:jc w:val="both"/>
      </w:pPr>
      <w:r>
        <w:tab/>
      </w:r>
      <w:r w:rsidRPr="00D77F58">
        <w:t>Na osnovi rezultata završenog integriranog preddiplomskog i diplomskog sveučilišnog studija prava (dalje: studij prava) kandidat može ostvariti najviše 50 bodova.</w:t>
      </w:r>
      <w:r>
        <w:t xml:space="preserve"> </w:t>
      </w:r>
      <w:r w:rsidRPr="00D77F58">
        <w:t>Opći uspjeh ostvaren na studiju prava bodovno se vrednuje na način da se prosječna ocjena ostvarena na studiju, izražena cijelim brojem i jednom decimalom, množi sa brojem 10 i dobiveni broj predstavlja broj ostvarenih bodova.</w:t>
      </w:r>
    </w:p>
    <w:p w14:paraId="72F25DB8" w14:textId="77777777" w:rsidR="0011667F" w:rsidRDefault="0011667F" w:rsidP="0011667F">
      <w:pPr>
        <w:jc w:val="both"/>
        <w:rPr>
          <w:u w:val="single"/>
        </w:rPr>
      </w:pPr>
    </w:p>
    <w:p w14:paraId="570258C0" w14:textId="77777777" w:rsidR="0011667F" w:rsidRDefault="0011667F" w:rsidP="0011667F">
      <w:pPr>
        <w:jc w:val="both"/>
      </w:pPr>
      <w:r>
        <w:tab/>
      </w:r>
      <w:r w:rsidRPr="00D77F58">
        <w:t>Povjerenstvo odlučuje u svakom pojedinom slučaju koji se broj bodova ostvaruje za završen sveučilišni diplomski studij prava u inozemstvu, vrednujući postignuti opći uspjeh na tom studiju primjenom gore navedenog kriterija.</w:t>
      </w:r>
    </w:p>
    <w:p w14:paraId="10138FCD" w14:textId="77777777" w:rsidR="0011667F" w:rsidRDefault="0011667F" w:rsidP="0011667F">
      <w:pPr>
        <w:jc w:val="both"/>
        <w:rPr>
          <w:u w:val="single"/>
        </w:rPr>
      </w:pPr>
    </w:p>
    <w:p w14:paraId="59805AFA" w14:textId="77777777" w:rsidR="0011667F" w:rsidRDefault="0011667F" w:rsidP="0011667F">
      <w:pPr>
        <w:jc w:val="both"/>
        <w:rPr>
          <w:u w:val="single"/>
        </w:rPr>
      </w:pPr>
      <w:r>
        <w:tab/>
      </w:r>
      <w:r w:rsidRPr="00D77F58">
        <w:t>Kao opći uspjeh ostvaren na studiju prava vrednuju se i postignuća tijekom studija prava za koja kandidat može ostvariti ukupno najviše 5 bodova, i to za primljenu:</w:t>
      </w:r>
    </w:p>
    <w:p w14:paraId="2C2F08CE" w14:textId="77777777" w:rsidR="0011667F" w:rsidRDefault="0011667F" w:rsidP="0011667F">
      <w:pPr>
        <w:jc w:val="both"/>
        <w:rPr>
          <w:u w:val="single"/>
        </w:rPr>
      </w:pPr>
      <w:r w:rsidRPr="00D77F58">
        <w:t xml:space="preserve">– </w:t>
      </w:r>
      <w:r>
        <w:t>r</w:t>
      </w:r>
      <w:r w:rsidRPr="00D77F58">
        <w:t>ektorovu nagradu 3 boda,</w:t>
      </w:r>
    </w:p>
    <w:p w14:paraId="23719477" w14:textId="77777777" w:rsidR="0011667F" w:rsidRDefault="0011667F" w:rsidP="0011667F">
      <w:pPr>
        <w:jc w:val="both"/>
      </w:pPr>
      <w:r w:rsidRPr="00D77F58">
        <w:t xml:space="preserve">– </w:t>
      </w:r>
      <w:r>
        <w:t>d</w:t>
      </w:r>
      <w:r w:rsidRPr="00D77F58">
        <w:t>ekanovu nagradu 2 boda.</w:t>
      </w:r>
    </w:p>
    <w:p w14:paraId="57595399" w14:textId="77777777" w:rsidR="0011667F" w:rsidRDefault="0011667F" w:rsidP="0011667F">
      <w:pPr>
        <w:jc w:val="both"/>
        <w:rPr>
          <w:u w:val="single"/>
        </w:rPr>
      </w:pPr>
    </w:p>
    <w:p w14:paraId="18E90188" w14:textId="77777777" w:rsidR="0011667F" w:rsidRDefault="0011667F" w:rsidP="0011667F">
      <w:pPr>
        <w:jc w:val="both"/>
        <w:rPr>
          <w:u w:val="single"/>
        </w:rPr>
      </w:pPr>
      <w:r>
        <w:tab/>
      </w:r>
      <w:r w:rsidRPr="00D77F58">
        <w:t>Kao opći uspjeh na poslijediplomskom studiju vrednuju se i slijedeća postignuća na poslijediplomskom studiju prava za koja kandidat može ostvariti najviše 5 bodova, i to za:</w:t>
      </w:r>
    </w:p>
    <w:p w14:paraId="3DEC75EE" w14:textId="77777777" w:rsidR="0011667F" w:rsidRDefault="0011667F" w:rsidP="0011667F">
      <w:pPr>
        <w:jc w:val="both"/>
        <w:rPr>
          <w:u w:val="single"/>
        </w:rPr>
      </w:pPr>
      <w:r w:rsidRPr="00D77F58">
        <w:t>– završen sveučilišni doktorski studij prava 5 bodova,</w:t>
      </w:r>
    </w:p>
    <w:p w14:paraId="3374F5CA" w14:textId="77777777" w:rsidR="0011667F" w:rsidRDefault="0011667F" w:rsidP="0011667F">
      <w:pPr>
        <w:jc w:val="both"/>
      </w:pPr>
      <w:r w:rsidRPr="00D77F58">
        <w:t>– završen specijalistički poslijediplomski studij 3 boda.</w:t>
      </w:r>
    </w:p>
    <w:p w14:paraId="2906276B" w14:textId="77777777" w:rsidR="0011667F" w:rsidRDefault="0011667F" w:rsidP="0011667F">
      <w:pPr>
        <w:pStyle w:val="Bezproreda"/>
        <w:jc w:val="both"/>
      </w:pPr>
    </w:p>
    <w:p w14:paraId="6C22EFF6" w14:textId="77777777" w:rsidR="0011667F" w:rsidRDefault="0011667F" w:rsidP="0011667F">
      <w:pPr>
        <w:jc w:val="both"/>
        <w:rPr>
          <w:rFonts w:eastAsia="MetaSerifPro-Book"/>
          <w:lang w:eastAsia="en-US"/>
        </w:rPr>
      </w:pPr>
      <w:r>
        <w:rPr>
          <w:rFonts w:eastAsia="MetaSerifPro-Book"/>
          <w:lang w:eastAsia="en-US"/>
        </w:rPr>
        <w:tab/>
      </w:r>
      <w:r w:rsidRPr="00890258">
        <w:rPr>
          <w:rFonts w:eastAsia="MetaSerifPro-Book"/>
          <w:lang w:eastAsia="en-US"/>
        </w:rPr>
        <w:t>Na temelju rezultata pisane provjere znanja kandidat može</w:t>
      </w:r>
      <w:r>
        <w:rPr>
          <w:rFonts w:eastAsia="MetaSerifPro-Book"/>
          <w:lang w:eastAsia="en-US"/>
        </w:rPr>
        <w:t xml:space="preserve"> </w:t>
      </w:r>
      <w:r w:rsidRPr="00890258">
        <w:rPr>
          <w:rFonts w:eastAsia="MetaSerifPro-Book"/>
          <w:lang w:eastAsia="en-US"/>
        </w:rPr>
        <w:t>ostvariti najviše 40 bodova.</w:t>
      </w:r>
    </w:p>
    <w:p w14:paraId="135CA422" w14:textId="77777777" w:rsidR="0011667F" w:rsidRPr="00890258" w:rsidRDefault="0011667F" w:rsidP="0011667F">
      <w:pPr>
        <w:jc w:val="both"/>
        <w:rPr>
          <w:rFonts w:eastAsia="MetaSerifPro-Book"/>
          <w:lang w:eastAsia="en-US"/>
        </w:rPr>
      </w:pPr>
    </w:p>
    <w:p w14:paraId="64117841" w14:textId="77777777" w:rsidR="0011667F" w:rsidRPr="00890258" w:rsidRDefault="0011667F" w:rsidP="0011667F">
      <w:pPr>
        <w:jc w:val="both"/>
        <w:rPr>
          <w:rFonts w:eastAsia="MetaSerifPro-Book"/>
          <w:lang w:eastAsia="en-US"/>
        </w:rPr>
      </w:pPr>
      <w:r>
        <w:rPr>
          <w:rFonts w:eastAsia="MetaSerifPro-Book"/>
          <w:lang w:eastAsia="en-US"/>
        </w:rPr>
        <w:tab/>
      </w:r>
      <w:r w:rsidRPr="00890258">
        <w:rPr>
          <w:rFonts w:eastAsia="MetaSerifPro-Book"/>
          <w:lang w:eastAsia="en-US"/>
        </w:rPr>
        <w:t>Na temelju rezultata provedenog strukturiranog razgovora</w:t>
      </w:r>
      <w:r>
        <w:rPr>
          <w:rFonts w:eastAsia="MetaSerifPro-Book"/>
          <w:lang w:eastAsia="en-US"/>
        </w:rPr>
        <w:t xml:space="preserve"> </w:t>
      </w:r>
      <w:r w:rsidRPr="00890258">
        <w:rPr>
          <w:rFonts w:eastAsia="MetaSerifPro-Book"/>
          <w:lang w:eastAsia="en-US"/>
        </w:rPr>
        <w:t>kandidat može ostvariti najviše 10 bodova.</w:t>
      </w:r>
    </w:p>
    <w:p w14:paraId="0D3F2F88" w14:textId="77777777" w:rsidR="0011667F" w:rsidRDefault="0011667F" w:rsidP="0011667F">
      <w:pPr>
        <w:ind w:firstLine="708"/>
      </w:pPr>
      <w:r w:rsidRPr="00D77F58">
        <w:t xml:space="preserve">                                                              </w:t>
      </w:r>
    </w:p>
    <w:p w14:paraId="4C0F26AF" w14:textId="77777777" w:rsidR="0011667F" w:rsidRPr="00FA73E8" w:rsidRDefault="0011667F" w:rsidP="0011667F">
      <w:pPr>
        <w:pStyle w:val="Bezproreda"/>
        <w:jc w:val="both"/>
      </w:pPr>
      <w:r>
        <w:tab/>
      </w:r>
      <w:r w:rsidRPr="00FA73E8">
        <w:t>Nakon provedenog postupka Povjerenstvo utvrđuje listu kandidata koje predlaže za izbor ministru pravosuđa i uprave.</w:t>
      </w:r>
    </w:p>
    <w:p w14:paraId="7C4BDCD7" w14:textId="77777777" w:rsidR="0011667F" w:rsidRDefault="0011667F" w:rsidP="0011667F">
      <w:pPr>
        <w:pStyle w:val="Bezproreda"/>
        <w:jc w:val="both"/>
      </w:pPr>
    </w:p>
    <w:p w14:paraId="05641913" w14:textId="77777777" w:rsidR="0011667F" w:rsidRDefault="0011667F" w:rsidP="0011667F">
      <w:pPr>
        <w:ind w:firstLine="708"/>
        <w:jc w:val="both"/>
      </w:pPr>
      <w:r>
        <w:t>Izabrani kandidat prima se u državnu službu na određeno vrijeme rješenjem Ministarstva pravosuđa i uprave.</w:t>
      </w:r>
    </w:p>
    <w:p w14:paraId="6C228FD8" w14:textId="77777777" w:rsidR="0011667F" w:rsidRDefault="0011667F" w:rsidP="0011667F">
      <w:pPr>
        <w:ind w:firstLine="708"/>
        <w:jc w:val="both"/>
      </w:pPr>
    </w:p>
    <w:p w14:paraId="04F5362D" w14:textId="65C6C574" w:rsidR="0011667F" w:rsidRDefault="0011667F" w:rsidP="0011667F">
      <w:pPr>
        <w:ind w:firstLine="708"/>
        <w:rPr>
          <w:b/>
          <w:bCs/>
        </w:rPr>
      </w:pPr>
      <w:r>
        <w:tab/>
      </w:r>
      <w:r>
        <w:tab/>
      </w:r>
      <w:r>
        <w:tab/>
      </w:r>
      <w:r>
        <w:tab/>
      </w:r>
      <w:r w:rsidRPr="00D77F58">
        <w:t xml:space="preserve"> </w:t>
      </w:r>
      <w:r>
        <w:tab/>
      </w:r>
      <w:r>
        <w:tab/>
      </w:r>
      <w:r>
        <w:tab/>
      </w:r>
      <w:r w:rsidRPr="001E41A8">
        <w:rPr>
          <w:b/>
          <w:bCs/>
        </w:rPr>
        <w:t>Ministarstvo pravosuđa i uprave</w:t>
      </w:r>
    </w:p>
    <w:p w14:paraId="06959CA4" w14:textId="401A8DDC" w:rsidR="00AF1011" w:rsidRDefault="00AF1011" w:rsidP="0011667F">
      <w:pPr>
        <w:ind w:firstLine="708"/>
        <w:rPr>
          <w:b/>
          <w:bCs/>
        </w:rPr>
      </w:pPr>
    </w:p>
    <w:p w14:paraId="55C0FED9" w14:textId="77777777" w:rsidR="00AF1011" w:rsidRPr="001E41A8" w:rsidRDefault="00AF1011" w:rsidP="0011667F">
      <w:pPr>
        <w:ind w:firstLine="708"/>
        <w:rPr>
          <w:b/>
          <w:bCs/>
        </w:rPr>
      </w:pPr>
    </w:p>
    <w:p w14:paraId="72DC3A72" w14:textId="77777777" w:rsidR="00AF1011" w:rsidRPr="00AF1011" w:rsidRDefault="00AF1011" w:rsidP="00AF1011">
      <w:pPr>
        <w:rPr>
          <w:rFonts w:ascii="Arial Narrow" w:hAnsi="Arial Narrow"/>
          <w:b/>
          <w:sz w:val="28"/>
          <w:szCs w:val="28"/>
          <w:lang w:eastAsia="en-US"/>
        </w:rPr>
      </w:pPr>
      <w:r w:rsidRPr="00AF1011">
        <w:rPr>
          <w:rFonts w:ascii="Arial Narrow" w:hAnsi="Arial Narrow"/>
          <w:b/>
          <w:sz w:val="28"/>
          <w:szCs w:val="28"/>
          <w:lang w:eastAsia="en-US"/>
        </w:rPr>
        <w:lastRenderedPageBreak/>
        <w:t>PRIJAVNI OBRAZAC</w:t>
      </w:r>
    </w:p>
    <w:p w14:paraId="05BB1EC7" w14:textId="77777777" w:rsidR="00AF1011" w:rsidRPr="00AF1011" w:rsidRDefault="00AF1011" w:rsidP="00AF1011">
      <w:pPr>
        <w:rPr>
          <w:rFonts w:ascii="Arial Narrow" w:hAnsi="Arial Narrow"/>
          <w:sz w:val="20"/>
          <w:szCs w:val="20"/>
          <w:lang w:eastAsia="en-US"/>
        </w:rPr>
      </w:pPr>
    </w:p>
    <w:p w14:paraId="76987967" w14:textId="77777777" w:rsidR="00AF1011" w:rsidRPr="00AF1011" w:rsidRDefault="00AF1011" w:rsidP="00AF1011">
      <w:pPr>
        <w:tabs>
          <w:tab w:val="left" w:pos="3493"/>
        </w:tabs>
        <w:jc w:val="center"/>
        <w:rPr>
          <w:rFonts w:ascii="Arial Narrow" w:eastAsia="Calibri" w:hAnsi="Arial Narrow"/>
          <w:b/>
          <w:lang w:eastAsia="en-US"/>
        </w:rPr>
      </w:pPr>
      <w:r w:rsidRPr="00AF1011">
        <w:rPr>
          <w:rFonts w:ascii="Arial Narrow" w:eastAsia="Calibri" w:hAnsi="Arial Narrow"/>
          <w:b/>
          <w:lang w:eastAsia="en-US"/>
        </w:rPr>
        <w:t xml:space="preserve">JAVNI NATJEČAJ </w:t>
      </w:r>
    </w:p>
    <w:p w14:paraId="52765EB3" w14:textId="77777777" w:rsidR="00AF1011" w:rsidRPr="00AF1011" w:rsidRDefault="00AF1011" w:rsidP="00AF1011">
      <w:pPr>
        <w:tabs>
          <w:tab w:val="left" w:pos="3493"/>
        </w:tabs>
        <w:jc w:val="center"/>
        <w:rPr>
          <w:rFonts w:ascii="Arial Narrow" w:eastAsia="Calibri" w:hAnsi="Arial Narrow"/>
          <w:b/>
          <w:lang w:eastAsia="en-US"/>
        </w:rPr>
      </w:pPr>
      <w:r w:rsidRPr="00AF1011">
        <w:rPr>
          <w:rFonts w:ascii="Arial Narrow" w:eastAsia="Calibri" w:hAnsi="Arial Narrow"/>
          <w:b/>
          <w:lang w:eastAsia="en-US"/>
        </w:rPr>
        <w:t>za prijam vježbenika u pravosudna tijela</w:t>
      </w:r>
    </w:p>
    <w:p w14:paraId="221BE3A7" w14:textId="241A972B" w:rsidR="00AF1011" w:rsidRDefault="00AF1011" w:rsidP="00AF1011">
      <w:pPr>
        <w:tabs>
          <w:tab w:val="left" w:pos="3493"/>
        </w:tabs>
        <w:jc w:val="center"/>
        <w:rPr>
          <w:rFonts w:ascii="Arial Narrow" w:eastAsia="Calibri" w:hAnsi="Arial Narrow"/>
          <w:b/>
          <w:lang w:eastAsia="en-US"/>
        </w:rPr>
      </w:pPr>
      <w:r w:rsidRPr="00AF1011">
        <w:rPr>
          <w:rFonts w:ascii="Arial Narrow" w:eastAsia="Calibri" w:hAnsi="Arial Narrow"/>
          <w:b/>
          <w:lang w:eastAsia="en-US"/>
        </w:rPr>
        <w:t>objavljen u Narodnim novinama broj 135/23 od 10. studenog 2023.</w:t>
      </w:r>
    </w:p>
    <w:p w14:paraId="2B260126" w14:textId="77777777" w:rsidR="00AF1011" w:rsidRPr="00AF1011" w:rsidRDefault="00AF1011" w:rsidP="00AF1011">
      <w:pPr>
        <w:tabs>
          <w:tab w:val="left" w:pos="3493"/>
        </w:tabs>
        <w:jc w:val="center"/>
        <w:rPr>
          <w:rFonts w:ascii="Arial Narrow" w:eastAsia="Calibri" w:hAnsi="Arial Narrow"/>
          <w:b/>
          <w:lang w:eastAsia="en-US"/>
        </w:rPr>
      </w:pPr>
    </w:p>
    <w:p w14:paraId="22F9435A" w14:textId="77777777" w:rsidR="00AF1011" w:rsidRPr="00AF1011" w:rsidRDefault="00AF1011" w:rsidP="00AF1011">
      <w:pPr>
        <w:tabs>
          <w:tab w:val="left" w:pos="3493"/>
        </w:tabs>
        <w:rPr>
          <w:rFonts w:ascii="Arial Narrow" w:eastAsia="Calibri" w:hAnsi="Arial Narrow"/>
          <w:sz w:val="20"/>
          <w:szCs w:val="20"/>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4"/>
        <w:gridCol w:w="1134"/>
        <w:gridCol w:w="5670"/>
      </w:tblGrid>
      <w:tr w:rsidR="00AF1011" w:rsidRPr="00AF1011" w14:paraId="67024A64" w14:textId="77777777" w:rsidTr="00FA49BC">
        <w:trPr>
          <w:trHeight w:val="345"/>
        </w:trPr>
        <w:tc>
          <w:tcPr>
            <w:tcW w:w="3119" w:type="dxa"/>
            <w:vMerge w:val="restart"/>
            <w:tcBorders>
              <w:top w:val="single" w:sz="4" w:space="0" w:color="auto"/>
              <w:left w:val="single" w:sz="4" w:space="0" w:color="auto"/>
              <w:right w:val="single" w:sz="4" w:space="0" w:color="auto"/>
            </w:tcBorders>
            <w:hideMark/>
          </w:tcPr>
          <w:p w14:paraId="4F99AAB0" w14:textId="77777777" w:rsidR="00AF1011" w:rsidRPr="00AF1011" w:rsidRDefault="00AF1011" w:rsidP="00AF1011">
            <w:pPr>
              <w:keepNext/>
              <w:spacing w:before="40" w:after="40"/>
              <w:rPr>
                <w:rFonts w:ascii="Arial Narrow" w:hAnsi="Arial Narrow"/>
                <w:b/>
                <w:lang w:eastAsia="en-US"/>
              </w:rPr>
            </w:pPr>
            <w:r w:rsidRPr="00AF1011">
              <w:rPr>
                <w:rFonts w:ascii="Arial Narrow" w:hAnsi="Arial Narrow"/>
                <w:b/>
                <w:smallCaps/>
                <w:lang w:eastAsia="en-US"/>
              </w:rPr>
              <w:t>Radno mjesto za koje se podnosi prijava</w:t>
            </w:r>
            <w:r w:rsidRPr="00AF1011">
              <w:rPr>
                <w:rFonts w:cs="Arial"/>
                <w:b/>
                <w:color w:val="C00000"/>
                <w:sz w:val="20"/>
                <w:szCs w:val="20"/>
                <w:vertAlign w:val="superscript"/>
                <w:lang w:val="en-US" w:eastAsia="en-US"/>
              </w:rPr>
              <w:t>1</w:t>
            </w:r>
          </w:p>
          <w:p w14:paraId="5535F75B" w14:textId="77777777" w:rsidR="00AF1011" w:rsidRPr="00AF1011" w:rsidRDefault="00AF1011" w:rsidP="00AF1011">
            <w:pPr>
              <w:widowControl w:val="0"/>
              <w:rPr>
                <w:rFonts w:ascii="Arial Narrow" w:hAnsi="Arial Narrow"/>
                <w:lang w:eastAsia="en-US"/>
              </w:rPr>
            </w:pPr>
          </w:p>
        </w:tc>
        <w:tc>
          <w:tcPr>
            <w:tcW w:w="284" w:type="dxa"/>
            <w:vMerge w:val="restart"/>
            <w:tcBorders>
              <w:top w:val="nil"/>
              <w:left w:val="single" w:sz="4" w:space="0" w:color="auto"/>
              <w:right w:val="single" w:sz="4" w:space="0" w:color="auto"/>
            </w:tcBorders>
          </w:tcPr>
          <w:p w14:paraId="125F3A99" w14:textId="77777777" w:rsidR="00AF1011" w:rsidRPr="00AF1011" w:rsidRDefault="00AF1011" w:rsidP="00AF1011">
            <w:pPr>
              <w:spacing w:before="40" w:after="40"/>
              <w:jc w:val="center"/>
              <w:rPr>
                <w:rFonts w:ascii="Arial Narrow" w:hAnsi="Arial Narrow"/>
                <w:lang w:eastAsia="en-US"/>
              </w:rPr>
            </w:pPr>
          </w:p>
        </w:tc>
        <w:tc>
          <w:tcPr>
            <w:tcW w:w="1134" w:type="dxa"/>
            <w:tcBorders>
              <w:top w:val="single" w:sz="4" w:space="0" w:color="auto"/>
              <w:left w:val="single" w:sz="4" w:space="0" w:color="auto"/>
              <w:bottom w:val="single" w:sz="4" w:space="0" w:color="auto"/>
              <w:right w:val="single" w:sz="4" w:space="0" w:color="auto"/>
            </w:tcBorders>
          </w:tcPr>
          <w:p w14:paraId="6A57BF92" w14:textId="77777777" w:rsidR="00AF1011" w:rsidRPr="00AF1011" w:rsidRDefault="00AF1011" w:rsidP="00AF1011">
            <w:pPr>
              <w:tabs>
                <w:tab w:val="left" w:pos="708"/>
                <w:tab w:val="center" w:pos="4153"/>
                <w:tab w:val="right" w:pos="8306"/>
              </w:tabs>
              <w:spacing w:before="40" w:after="40"/>
              <w:jc w:val="center"/>
              <w:rPr>
                <w:rFonts w:ascii="Arial Narrow" w:hAnsi="Arial Narrow"/>
                <w:lang w:eastAsia="en-US"/>
              </w:rPr>
            </w:pPr>
            <w:r w:rsidRPr="00AF1011">
              <w:rPr>
                <w:rFonts w:ascii="Arial Narrow" w:hAnsi="Arial Narrow"/>
                <w:lang w:eastAsia="en-US"/>
              </w:rPr>
              <w:t xml:space="preserve">Red.br. </w:t>
            </w:r>
          </w:p>
        </w:tc>
        <w:tc>
          <w:tcPr>
            <w:tcW w:w="5670" w:type="dxa"/>
            <w:tcBorders>
              <w:top w:val="single" w:sz="4" w:space="0" w:color="auto"/>
              <w:left w:val="single" w:sz="4" w:space="0" w:color="auto"/>
              <w:bottom w:val="single" w:sz="4" w:space="0" w:color="auto"/>
              <w:right w:val="single" w:sz="4" w:space="0" w:color="auto"/>
            </w:tcBorders>
          </w:tcPr>
          <w:p w14:paraId="435D2286"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lang w:eastAsia="en-US"/>
              </w:rPr>
              <w:t xml:space="preserve">                           Pravosudno tijelo</w:t>
            </w:r>
          </w:p>
        </w:tc>
      </w:tr>
      <w:tr w:rsidR="00AF1011" w:rsidRPr="00AF1011" w14:paraId="091D4CCC" w14:textId="77777777" w:rsidTr="00FA49BC">
        <w:trPr>
          <w:trHeight w:val="296"/>
        </w:trPr>
        <w:tc>
          <w:tcPr>
            <w:tcW w:w="3119" w:type="dxa"/>
            <w:vMerge/>
            <w:tcBorders>
              <w:left w:val="single" w:sz="4" w:space="0" w:color="auto"/>
              <w:bottom w:val="single" w:sz="4" w:space="0" w:color="auto"/>
              <w:right w:val="single" w:sz="4" w:space="0" w:color="auto"/>
            </w:tcBorders>
          </w:tcPr>
          <w:p w14:paraId="5DECC4C1" w14:textId="77777777" w:rsidR="00AF1011" w:rsidRPr="00AF1011" w:rsidRDefault="00AF1011" w:rsidP="00AF1011">
            <w:pPr>
              <w:keepNext/>
              <w:spacing w:before="40" w:after="40"/>
              <w:jc w:val="center"/>
              <w:rPr>
                <w:rFonts w:ascii="Arial Narrow" w:hAnsi="Arial Narrow"/>
                <w:b/>
                <w:i/>
                <w:smallCaps/>
                <w:lang w:eastAsia="en-US"/>
              </w:rPr>
            </w:pPr>
          </w:p>
        </w:tc>
        <w:tc>
          <w:tcPr>
            <w:tcW w:w="284" w:type="dxa"/>
            <w:vMerge/>
            <w:tcBorders>
              <w:left w:val="single" w:sz="4" w:space="0" w:color="auto"/>
              <w:bottom w:val="nil"/>
              <w:right w:val="single" w:sz="4" w:space="0" w:color="auto"/>
            </w:tcBorders>
          </w:tcPr>
          <w:p w14:paraId="5F450591" w14:textId="77777777" w:rsidR="00AF1011" w:rsidRPr="00AF1011" w:rsidRDefault="00AF1011" w:rsidP="00AF1011">
            <w:pPr>
              <w:spacing w:before="40" w:after="40"/>
              <w:jc w:val="center"/>
              <w:rPr>
                <w:rFonts w:ascii="Arial Narrow" w:hAnsi="Arial Narrow"/>
                <w:i/>
                <w:lang w:eastAsia="en-US"/>
              </w:rPr>
            </w:pPr>
          </w:p>
        </w:tc>
        <w:tc>
          <w:tcPr>
            <w:tcW w:w="1134" w:type="dxa"/>
            <w:tcBorders>
              <w:top w:val="single" w:sz="4" w:space="0" w:color="auto"/>
              <w:left w:val="single" w:sz="4" w:space="0" w:color="auto"/>
              <w:bottom w:val="single" w:sz="4" w:space="0" w:color="auto"/>
              <w:right w:val="single" w:sz="4" w:space="0" w:color="auto"/>
            </w:tcBorders>
          </w:tcPr>
          <w:p w14:paraId="75F36344" w14:textId="77777777" w:rsidR="00AF1011" w:rsidRPr="00AF1011" w:rsidRDefault="00AF1011" w:rsidP="00AF1011">
            <w:pPr>
              <w:widowControl w:val="0"/>
              <w:tabs>
                <w:tab w:val="left" w:pos="708"/>
                <w:tab w:val="center" w:pos="4153"/>
                <w:tab w:val="right" w:pos="8306"/>
              </w:tabs>
              <w:spacing w:before="40" w:after="40"/>
              <w:jc w:val="center"/>
              <w:rPr>
                <w:rFonts w:ascii="Arial Narrow" w:hAnsi="Arial Narrow"/>
                <w:b/>
                <w:i/>
                <w:lang w:eastAsia="en-US"/>
              </w:rPr>
            </w:pPr>
            <w:r w:rsidRPr="00AF1011">
              <w:rPr>
                <w:rFonts w:ascii="Arial Narrow" w:hAnsi="Arial Narrow"/>
                <w:b/>
                <w:smallCaps/>
                <w:lang w:eastAsia="en-US"/>
              </w:rPr>
              <w:fldChar w:fldCharType="begin">
                <w:ffData>
                  <w:name w:val="Tekst7"/>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p>
        </w:tc>
        <w:tc>
          <w:tcPr>
            <w:tcW w:w="5670" w:type="dxa"/>
            <w:tcBorders>
              <w:top w:val="single" w:sz="4" w:space="0" w:color="auto"/>
              <w:left w:val="single" w:sz="4" w:space="0" w:color="auto"/>
              <w:bottom w:val="single" w:sz="4" w:space="0" w:color="auto"/>
              <w:right w:val="single" w:sz="4" w:space="0" w:color="auto"/>
            </w:tcBorders>
          </w:tcPr>
          <w:p w14:paraId="15340E82" w14:textId="77777777" w:rsidR="00AF1011" w:rsidRPr="00AF1011" w:rsidRDefault="00AF1011" w:rsidP="00AF1011">
            <w:pPr>
              <w:widowControl w:val="0"/>
              <w:tabs>
                <w:tab w:val="left" w:pos="708"/>
                <w:tab w:val="center" w:pos="4153"/>
                <w:tab w:val="right" w:pos="8306"/>
              </w:tabs>
              <w:spacing w:before="40" w:after="40"/>
              <w:rPr>
                <w:rFonts w:ascii="Arial Narrow" w:hAnsi="Arial Narrow"/>
                <w:b/>
                <w:i/>
                <w:lang w:eastAsia="en-US"/>
              </w:rPr>
            </w:pPr>
            <w:r w:rsidRPr="00AF1011">
              <w:rPr>
                <w:rFonts w:ascii="Arial Narrow" w:hAnsi="Arial Narrow"/>
                <w:b/>
                <w:smallCaps/>
                <w:lang w:eastAsia="en-US"/>
              </w:rPr>
              <w:fldChar w:fldCharType="begin">
                <w:ffData>
                  <w:name w:val="Tekst7"/>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p>
        </w:tc>
      </w:tr>
    </w:tbl>
    <w:p w14:paraId="4417F118" w14:textId="77777777" w:rsidR="00AF1011" w:rsidRPr="00AF1011" w:rsidRDefault="00AF1011" w:rsidP="00AF1011">
      <w:pPr>
        <w:rPr>
          <w:rFonts w:ascii="Arial Narrow" w:hAnsi="Arial Narrow"/>
          <w:lang w:eastAsia="en-US"/>
        </w:rPr>
      </w:pP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tblGrid>
      <w:tr w:rsidR="00AF1011" w:rsidRPr="00AF1011" w14:paraId="55FA0903" w14:textId="77777777" w:rsidTr="00FA49BC">
        <w:tc>
          <w:tcPr>
            <w:tcW w:w="3119" w:type="dxa"/>
            <w:tcBorders>
              <w:top w:val="single" w:sz="4" w:space="0" w:color="auto"/>
              <w:left w:val="single" w:sz="4" w:space="0" w:color="auto"/>
              <w:bottom w:val="single" w:sz="4" w:space="0" w:color="auto"/>
              <w:right w:val="single" w:sz="4" w:space="0" w:color="auto"/>
            </w:tcBorders>
            <w:hideMark/>
          </w:tcPr>
          <w:p w14:paraId="65890E64" w14:textId="77777777" w:rsidR="00AF1011" w:rsidRPr="00AF1011" w:rsidRDefault="00AF1011" w:rsidP="00AF1011">
            <w:pPr>
              <w:keepNext/>
              <w:jc w:val="right"/>
              <w:rPr>
                <w:rFonts w:ascii="Arial Narrow" w:hAnsi="Arial Narrow"/>
                <w:b/>
                <w:smallCaps/>
                <w:lang w:eastAsia="en-US"/>
              </w:rPr>
            </w:pPr>
            <w:r w:rsidRPr="00AF1011">
              <w:rPr>
                <w:rFonts w:ascii="Arial Narrow" w:hAnsi="Arial Narrow"/>
                <w:b/>
                <w:smallCaps/>
                <w:lang w:eastAsia="en-US"/>
              </w:rPr>
              <w:t>OSOBNI PODACI</w:t>
            </w:r>
          </w:p>
        </w:tc>
      </w:tr>
    </w:tbl>
    <w:p w14:paraId="7438AD80" w14:textId="77777777" w:rsidR="00AF1011" w:rsidRPr="00AF1011" w:rsidRDefault="00AF1011" w:rsidP="00AF1011">
      <w:pPr>
        <w:rPr>
          <w:rFonts w:ascii="Arial Narrow" w:hAnsi="Arial Narrow"/>
          <w:lang w:eastAsia="en-US"/>
        </w:rPr>
      </w:pP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8"/>
        <w:gridCol w:w="284"/>
        <w:gridCol w:w="6805"/>
      </w:tblGrid>
      <w:tr w:rsidR="00AF1011" w:rsidRPr="00AF1011" w14:paraId="3842A464" w14:textId="77777777" w:rsidTr="00FA49BC">
        <w:tc>
          <w:tcPr>
            <w:tcW w:w="3118" w:type="dxa"/>
            <w:tcBorders>
              <w:top w:val="single" w:sz="4" w:space="0" w:color="auto"/>
              <w:left w:val="single" w:sz="4" w:space="0" w:color="auto"/>
              <w:bottom w:val="single" w:sz="4" w:space="0" w:color="auto"/>
              <w:right w:val="single" w:sz="4" w:space="0" w:color="auto"/>
            </w:tcBorders>
            <w:hideMark/>
          </w:tcPr>
          <w:p w14:paraId="3D64F98B" w14:textId="77777777" w:rsidR="00AF1011" w:rsidRPr="00AF1011" w:rsidRDefault="00AF1011" w:rsidP="00AF1011">
            <w:pPr>
              <w:keepNext/>
              <w:spacing w:before="40" w:after="40"/>
              <w:jc w:val="right"/>
              <w:rPr>
                <w:rFonts w:ascii="Arial Narrow" w:hAnsi="Arial Narrow"/>
                <w:lang w:eastAsia="en-US"/>
              </w:rPr>
            </w:pPr>
            <w:r w:rsidRPr="00AF1011">
              <w:rPr>
                <w:rFonts w:ascii="Arial Narrow" w:hAnsi="Arial Narrow"/>
                <w:lang w:eastAsia="en-US"/>
              </w:rPr>
              <w:t>Ime i prezime</w:t>
            </w:r>
            <w:r w:rsidRPr="00AF1011">
              <w:rPr>
                <w:rFonts w:cs="Arial"/>
                <w:b/>
                <w:color w:val="C00000"/>
                <w:sz w:val="20"/>
                <w:szCs w:val="20"/>
                <w:vertAlign w:val="superscript"/>
                <w:lang w:val="en-US" w:eastAsia="en-US"/>
              </w:rPr>
              <w:t>1</w:t>
            </w:r>
          </w:p>
          <w:p w14:paraId="65C60EA7" w14:textId="77777777" w:rsidR="00AF1011" w:rsidRPr="00AF1011" w:rsidRDefault="00AF1011" w:rsidP="00AF1011">
            <w:pPr>
              <w:keepNext/>
              <w:spacing w:before="40" w:after="40"/>
              <w:jc w:val="right"/>
              <w:rPr>
                <w:rFonts w:ascii="Arial Narrow" w:hAnsi="Arial Narrow"/>
                <w:lang w:eastAsia="en-US"/>
              </w:rPr>
            </w:pPr>
            <w:r w:rsidRPr="00AF1011">
              <w:rPr>
                <w:rFonts w:ascii="Arial Narrow" w:hAnsi="Arial Narrow"/>
                <w:lang w:eastAsia="en-US"/>
              </w:rPr>
              <w:t>/ime i prezime oca i majke</w:t>
            </w:r>
          </w:p>
        </w:tc>
        <w:tc>
          <w:tcPr>
            <w:tcW w:w="284" w:type="dxa"/>
            <w:tcBorders>
              <w:top w:val="nil"/>
              <w:left w:val="single" w:sz="4" w:space="0" w:color="auto"/>
              <w:bottom w:val="nil"/>
              <w:right w:val="single" w:sz="4" w:space="0" w:color="auto"/>
            </w:tcBorders>
          </w:tcPr>
          <w:p w14:paraId="7A2D0F9B" w14:textId="77777777" w:rsidR="00AF1011" w:rsidRPr="00AF1011" w:rsidRDefault="00AF1011" w:rsidP="00AF1011">
            <w:pPr>
              <w:spacing w:before="40" w:after="40"/>
              <w:rPr>
                <w:rFonts w:ascii="Arial Narrow" w:hAnsi="Arial Narrow"/>
                <w:lang w:eastAsia="en-US"/>
              </w:rPr>
            </w:pPr>
          </w:p>
        </w:tc>
        <w:tc>
          <w:tcPr>
            <w:tcW w:w="6805" w:type="dxa"/>
            <w:tcBorders>
              <w:top w:val="single" w:sz="4" w:space="0" w:color="auto"/>
              <w:left w:val="single" w:sz="4" w:space="0" w:color="auto"/>
              <w:bottom w:val="single" w:sz="4" w:space="0" w:color="auto"/>
              <w:right w:val="single" w:sz="4" w:space="0" w:color="auto"/>
            </w:tcBorders>
          </w:tcPr>
          <w:p w14:paraId="2DBC9F93"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b/>
                <w:smallCaps/>
                <w:lang w:eastAsia="en-US"/>
              </w:rPr>
              <w:fldChar w:fldCharType="begin">
                <w:ffData>
                  <w:name w:val="Tekst7"/>
                  <w:enabled/>
                  <w:calcOnExit w:val="0"/>
                  <w:textInput/>
                </w:ffData>
              </w:fldChar>
            </w:r>
            <w:bookmarkStart w:id="0" w:name="Tekst7"/>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bookmarkEnd w:id="0"/>
          </w:p>
        </w:tc>
      </w:tr>
      <w:tr w:rsidR="00AF1011" w:rsidRPr="00AF1011" w14:paraId="62D5E5EC" w14:textId="77777777" w:rsidTr="00FA49BC">
        <w:trPr>
          <w:trHeight w:val="330"/>
        </w:trPr>
        <w:tc>
          <w:tcPr>
            <w:tcW w:w="3118" w:type="dxa"/>
            <w:tcBorders>
              <w:top w:val="single" w:sz="4" w:space="0" w:color="auto"/>
              <w:left w:val="single" w:sz="4" w:space="0" w:color="auto"/>
              <w:bottom w:val="single" w:sz="4" w:space="0" w:color="auto"/>
              <w:right w:val="single" w:sz="4" w:space="0" w:color="auto"/>
            </w:tcBorders>
          </w:tcPr>
          <w:p w14:paraId="6FA96FEF" w14:textId="77777777" w:rsidR="00AF1011" w:rsidRPr="00AF1011" w:rsidRDefault="00AF1011" w:rsidP="00AF1011">
            <w:pPr>
              <w:keepNext/>
              <w:spacing w:before="40" w:after="40"/>
              <w:jc w:val="right"/>
              <w:rPr>
                <w:rFonts w:ascii="Arial Narrow" w:hAnsi="Arial Narrow"/>
                <w:lang w:eastAsia="en-US"/>
              </w:rPr>
            </w:pPr>
            <w:r w:rsidRPr="00AF1011">
              <w:rPr>
                <w:rFonts w:ascii="Arial Narrow" w:hAnsi="Arial Narrow"/>
                <w:lang w:eastAsia="en-US"/>
              </w:rPr>
              <w:t>Datum rođenja</w:t>
            </w:r>
            <w:r w:rsidRPr="00AF1011">
              <w:rPr>
                <w:rFonts w:cs="Arial"/>
                <w:b/>
                <w:sz w:val="20"/>
                <w:szCs w:val="20"/>
                <w:vertAlign w:val="superscript"/>
                <w:lang w:val="en-US" w:eastAsia="en-US"/>
              </w:rPr>
              <w:t>2</w:t>
            </w:r>
          </w:p>
        </w:tc>
        <w:tc>
          <w:tcPr>
            <w:tcW w:w="284" w:type="dxa"/>
            <w:tcBorders>
              <w:left w:val="single" w:sz="4" w:space="0" w:color="auto"/>
              <w:bottom w:val="nil"/>
              <w:right w:val="single" w:sz="4" w:space="0" w:color="auto"/>
            </w:tcBorders>
          </w:tcPr>
          <w:p w14:paraId="52381B56" w14:textId="77777777" w:rsidR="00AF1011" w:rsidRPr="00AF1011" w:rsidRDefault="00AF1011" w:rsidP="00AF1011">
            <w:pPr>
              <w:spacing w:before="40" w:after="40"/>
              <w:rPr>
                <w:rFonts w:ascii="Arial Narrow" w:hAnsi="Arial Narrow"/>
                <w:lang w:eastAsia="en-US"/>
              </w:rPr>
            </w:pPr>
          </w:p>
        </w:tc>
        <w:tc>
          <w:tcPr>
            <w:tcW w:w="6805" w:type="dxa"/>
            <w:tcBorders>
              <w:top w:val="single" w:sz="4" w:space="0" w:color="auto"/>
              <w:left w:val="single" w:sz="4" w:space="0" w:color="auto"/>
              <w:bottom w:val="single" w:sz="4" w:space="0" w:color="auto"/>
              <w:right w:val="single" w:sz="4" w:space="0" w:color="auto"/>
            </w:tcBorders>
          </w:tcPr>
          <w:p w14:paraId="4D7D814B" w14:textId="77777777" w:rsidR="00AF1011" w:rsidRPr="00AF1011" w:rsidRDefault="00AF1011" w:rsidP="00AF1011">
            <w:pPr>
              <w:widowControl w:val="0"/>
              <w:tabs>
                <w:tab w:val="left" w:pos="708"/>
                <w:tab w:val="center" w:pos="4153"/>
                <w:tab w:val="right" w:pos="8306"/>
              </w:tabs>
              <w:spacing w:before="40" w:after="40"/>
              <w:rPr>
                <w:rFonts w:ascii="Arial Narrow" w:hAnsi="Arial Narrow"/>
                <w:b/>
                <w:smallCaps/>
                <w:lang w:eastAsia="en-US"/>
              </w:rPr>
            </w:pPr>
            <w:r w:rsidRPr="00AF1011">
              <w:rPr>
                <w:rFonts w:ascii="Arial Narrow" w:hAnsi="Arial Narrow"/>
                <w:b/>
                <w:smallCaps/>
                <w:lang w:eastAsia="en-US"/>
              </w:rPr>
              <w:fldChar w:fldCharType="begin">
                <w:ffData>
                  <w:name w:val="Tekst8"/>
                  <w:enabled/>
                  <w:calcOnExit w:val="0"/>
                  <w:textInput/>
                </w:ffData>
              </w:fldChar>
            </w:r>
            <w:bookmarkStart w:id="1" w:name="Tekst8"/>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bookmarkEnd w:id="1"/>
          </w:p>
        </w:tc>
      </w:tr>
      <w:tr w:rsidR="00AF1011" w:rsidRPr="00AF1011" w14:paraId="1F366DEC" w14:textId="77777777" w:rsidTr="00FA49BC">
        <w:tc>
          <w:tcPr>
            <w:tcW w:w="3118" w:type="dxa"/>
            <w:tcBorders>
              <w:top w:val="single" w:sz="4" w:space="0" w:color="auto"/>
              <w:left w:val="single" w:sz="4" w:space="0" w:color="auto"/>
              <w:bottom w:val="single" w:sz="4" w:space="0" w:color="auto"/>
              <w:right w:val="single" w:sz="4" w:space="0" w:color="auto"/>
            </w:tcBorders>
            <w:hideMark/>
          </w:tcPr>
          <w:p w14:paraId="42E27A1B" w14:textId="77777777" w:rsidR="00AF1011" w:rsidRPr="00AF1011" w:rsidRDefault="00AF1011" w:rsidP="00AF1011">
            <w:pPr>
              <w:spacing w:before="20" w:after="20"/>
              <w:jc w:val="right"/>
              <w:rPr>
                <w:rFonts w:ascii="Arial Narrow" w:hAnsi="Arial Narrow"/>
                <w:lang w:eastAsia="en-US"/>
              </w:rPr>
            </w:pPr>
            <w:r w:rsidRPr="00AF1011">
              <w:rPr>
                <w:rFonts w:ascii="Arial Narrow" w:hAnsi="Arial Narrow"/>
                <w:lang w:eastAsia="en-US"/>
              </w:rPr>
              <w:t>Mjesto rođenja</w:t>
            </w:r>
            <w:r w:rsidRPr="00AF1011">
              <w:rPr>
                <w:rFonts w:cs="Arial"/>
                <w:sz w:val="20"/>
                <w:szCs w:val="20"/>
                <w:vertAlign w:val="superscript"/>
                <w:lang w:val="en-US" w:eastAsia="en-US"/>
              </w:rPr>
              <w:t>2</w:t>
            </w:r>
          </w:p>
        </w:tc>
        <w:tc>
          <w:tcPr>
            <w:tcW w:w="284" w:type="dxa"/>
            <w:tcBorders>
              <w:top w:val="nil"/>
              <w:left w:val="single" w:sz="4" w:space="0" w:color="auto"/>
              <w:bottom w:val="nil"/>
              <w:right w:val="single" w:sz="4" w:space="0" w:color="auto"/>
            </w:tcBorders>
          </w:tcPr>
          <w:p w14:paraId="057342D1" w14:textId="77777777" w:rsidR="00AF1011" w:rsidRPr="00AF1011" w:rsidRDefault="00AF1011" w:rsidP="00AF1011">
            <w:pPr>
              <w:spacing w:before="20" w:after="20"/>
              <w:rPr>
                <w:rFonts w:ascii="Arial Narrow" w:hAnsi="Arial Narrow"/>
                <w:lang w:eastAsia="en-US"/>
              </w:rPr>
            </w:pPr>
          </w:p>
        </w:tc>
        <w:tc>
          <w:tcPr>
            <w:tcW w:w="6805" w:type="dxa"/>
            <w:tcBorders>
              <w:top w:val="single" w:sz="4" w:space="0" w:color="auto"/>
              <w:left w:val="single" w:sz="4" w:space="0" w:color="auto"/>
              <w:bottom w:val="single" w:sz="4" w:space="0" w:color="auto"/>
              <w:right w:val="single" w:sz="4" w:space="0" w:color="auto"/>
            </w:tcBorders>
          </w:tcPr>
          <w:p w14:paraId="31D6F9B5" w14:textId="77777777" w:rsidR="00AF1011" w:rsidRPr="00AF1011" w:rsidRDefault="00AF1011" w:rsidP="00AF1011">
            <w:pPr>
              <w:tabs>
                <w:tab w:val="left" w:pos="708"/>
                <w:tab w:val="center" w:pos="4153"/>
                <w:tab w:val="right" w:pos="8306"/>
              </w:tabs>
              <w:spacing w:before="20" w:after="20"/>
              <w:rPr>
                <w:rFonts w:ascii="Arial Narrow" w:hAnsi="Arial Narrow"/>
                <w:lang w:eastAsia="en-US"/>
              </w:rPr>
            </w:pPr>
            <w:r w:rsidRPr="00AF1011">
              <w:rPr>
                <w:rFonts w:ascii="Arial Narrow" w:hAnsi="Arial Narrow"/>
                <w:lang w:eastAsia="en-US"/>
              </w:rPr>
              <w:fldChar w:fldCharType="begin">
                <w:ffData>
                  <w:name w:val="Tekst9"/>
                  <w:enabled/>
                  <w:calcOnExit w:val="0"/>
                  <w:textInput/>
                </w:ffData>
              </w:fldChar>
            </w:r>
            <w:bookmarkStart w:id="2" w:name="Tekst9"/>
            <w:r w:rsidRPr="00AF1011">
              <w:rPr>
                <w:rFonts w:ascii="Arial Narrow" w:hAnsi="Arial Narrow"/>
                <w:lang w:eastAsia="en-US"/>
              </w:rPr>
              <w:instrText xml:space="preserve"> FORMTEXT </w:instrText>
            </w:r>
            <w:r w:rsidRPr="00AF1011">
              <w:rPr>
                <w:rFonts w:ascii="Arial Narrow" w:hAnsi="Arial Narrow"/>
                <w:lang w:eastAsia="en-US"/>
              </w:rPr>
            </w:r>
            <w:r w:rsidRPr="00AF1011">
              <w:rPr>
                <w:rFonts w:ascii="Arial Narrow" w:hAnsi="Arial Narrow"/>
                <w:lang w:eastAsia="en-US"/>
              </w:rPr>
              <w:fldChar w:fldCharType="separate"/>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lang w:eastAsia="en-US"/>
              </w:rPr>
              <w:fldChar w:fldCharType="end"/>
            </w:r>
            <w:bookmarkEnd w:id="2"/>
          </w:p>
        </w:tc>
      </w:tr>
      <w:tr w:rsidR="00AF1011" w:rsidRPr="00AF1011" w14:paraId="259C2E79" w14:textId="77777777" w:rsidTr="00FA49BC">
        <w:tc>
          <w:tcPr>
            <w:tcW w:w="3118" w:type="dxa"/>
            <w:tcBorders>
              <w:top w:val="single" w:sz="4" w:space="0" w:color="auto"/>
              <w:left w:val="single" w:sz="4" w:space="0" w:color="auto"/>
              <w:bottom w:val="single" w:sz="4" w:space="0" w:color="auto"/>
              <w:right w:val="single" w:sz="4" w:space="0" w:color="auto"/>
            </w:tcBorders>
          </w:tcPr>
          <w:p w14:paraId="0623B00F" w14:textId="77777777" w:rsidR="00AF1011" w:rsidRPr="00AF1011" w:rsidRDefault="00AF1011" w:rsidP="00AF1011">
            <w:pPr>
              <w:spacing w:before="20" w:after="20"/>
              <w:jc w:val="right"/>
              <w:rPr>
                <w:rFonts w:ascii="Arial Narrow" w:hAnsi="Arial Narrow"/>
                <w:lang w:eastAsia="en-US"/>
              </w:rPr>
            </w:pPr>
            <w:r w:rsidRPr="00AF1011">
              <w:rPr>
                <w:rFonts w:ascii="Arial Narrow" w:hAnsi="Arial Narrow"/>
                <w:lang w:eastAsia="en-US"/>
              </w:rPr>
              <w:t>OIB</w:t>
            </w:r>
            <w:r w:rsidRPr="00AF1011">
              <w:rPr>
                <w:rFonts w:cs="Arial"/>
                <w:sz w:val="20"/>
                <w:szCs w:val="20"/>
                <w:vertAlign w:val="superscript"/>
                <w:lang w:val="en-US" w:eastAsia="en-US"/>
              </w:rPr>
              <w:t>2</w:t>
            </w:r>
          </w:p>
        </w:tc>
        <w:tc>
          <w:tcPr>
            <w:tcW w:w="284" w:type="dxa"/>
            <w:tcBorders>
              <w:top w:val="nil"/>
              <w:left w:val="single" w:sz="4" w:space="0" w:color="auto"/>
              <w:bottom w:val="nil"/>
              <w:right w:val="single" w:sz="4" w:space="0" w:color="auto"/>
            </w:tcBorders>
          </w:tcPr>
          <w:p w14:paraId="2225E134" w14:textId="77777777" w:rsidR="00AF1011" w:rsidRPr="00AF1011" w:rsidRDefault="00AF1011" w:rsidP="00AF1011">
            <w:pPr>
              <w:spacing w:before="20" w:after="20"/>
              <w:rPr>
                <w:rFonts w:ascii="Arial Narrow" w:hAnsi="Arial Narrow"/>
                <w:lang w:eastAsia="en-US"/>
              </w:rPr>
            </w:pPr>
          </w:p>
        </w:tc>
        <w:tc>
          <w:tcPr>
            <w:tcW w:w="6805" w:type="dxa"/>
            <w:tcBorders>
              <w:top w:val="single" w:sz="4" w:space="0" w:color="auto"/>
              <w:left w:val="single" w:sz="4" w:space="0" w:color="auto"/>
              <w:bottom w:val="single" w:sz="4" w:space="0" w:color="auto"/>
              <w:right w:val="single" w:sz="4" w:space="0" w:color="auto"/>
            </w:tcBorders>
          </w:tcPr>
          <w:p w14:paraId="223D52BF" w14:textId="77777777" w:rsidR="00AF1011" w:rsidRPr="00AF1011" w:rsidRDefault="00AF1011" w:rsidP="00AF1011">
            <w:pPr>
              <w:tabs>
                <w:tab w:val="left" w:pos="708"/>
                <w:tab w:val="center" w:pos="4153"/>
                <w:tab w:val="right" w:pos="8306"/>
              </w:tabs>
              <w:spacing w:before="20" w:after="20"/>
              <w:rPr>
                <w:rFonts w:ascii="Arial Narrow" w:hAnsi="Arial Narrow"/>
                <w:lang w:eastAsia="en-US"/>
              </w:rPr>
            </w:pPr>
            <w:r w:rsidRPr="00AF1011">
              <w:rPr>
                <w:rFonts w:ascii="Arial Narrow" w:hAnsi="Arial Narrow"/>
                <w:lang w:eastAsia="en-US"/>
              </w:rPr>
              <w:fldChar w:fldCharType="begin">
                <w:ffData>
                  <w:name w:val="Tekst10"/>
                  <w:enabled/>
                  <w:calcOnExit w:val="0"/>
                  <w:textInput/>
                </w:ffData>
              </w:fldChar>
            </w:r>
            <w:bookmarkStart w:id="3" w:name="Tekst10"/>
            <w:r w:rsidRPr="00AF1011">
              <w:rPr>
                <w:rFonts w:ascii="Arial Narrow" w:hAnsi="Arial Narrow"/>
                <w:lang w:eastAsia="en-US"/>
              </w:rPr>
              <w:instrText xml:space="preserve"> FORMTEXT </w:instrText>
            </w:r>
            <w:r w:rsidRPr="00AF1011">
              <w:rPr>
                <w:rFonts w:ascii="Arial Narrow" w:hAnsi="Arial Narrow"/>
                <w:lang w:eastAsia="en-US"/>
              </w:rPr>
            </w:r>
            <w:r w:rsidRPr="00AF1011">
              <w:rPr>
                <w:rFonts w:ascii="Arial Narrow" w:hAnsi="Arial Narrow"/>
                <w:lang w:eastAsia="en-US"/>
              </w:rPr>
              <w:fldChar w:fldCharType="separate"/>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noProof/>
                <w:lang w:eastAsia="en-US"/>
              </w:rPr>
              <w:t> </w:t>
            </w:r>
            <w:r w:rsidRPr="00AF1011">
              <w:rPr>
                <w:rFonts w:ascii="Arial Narrow" w:hAnsi="Arial Narrow"/>
                <w:lang w:eastAsia="en-US"/>
              </w:rPr>
              <w:fldChar w:fldCharType="end"/>
            </w:r>
            <w:bookmarkEnd w:id="3"/>
          </w:p>
        </w:tc>
      </w:tr>
      <w:tr w:rsidR="00AF1011" w:rsidRPr="00AF1011" w14:paraId="333C93B3" w14:textId="77777777" w:rsidTr="00FA49BC">
        <w:trPr>
          <w:gridAfter w:val="2"/>
          <w:wAfter w:w="7089" w:type="dxa"/>
        </w:trPr>
        <w:tc>
          <w:tcPr>
            <w:tcW w:w="3118" w:type="dxa"/>
            <w:tcBorders>
              <w:top w:val="single" w:sz="4" w:space="0" w:color="auto"/>
              <w:left w:val="nil"/>
              <w:bottom w:val="nil"/>
              <w:right w:val="nil"/>
            </w:tcBorders>
            <w:hideMark/>
          </w:tcPr>
          <w:p w14:paraId="73AF9D90" w14:textId="77777777" w:rsidR="00AF1011" w:rsidRPr="00AF1011" w:rsidRDefault="00AF1011" w:rsidP="00AF1011">
            <w:pPr>
              <w:keepNext/>
              <w:spacing w:before="40" w:after="40"/>
              <w:jc w:val="right"/>
              <w:rPr>
                <w:rFonts w:ascii="Arial Narrow" w:hAnsi="Arial Narrow"/>
                <w:lang w:eastAsia="en-US"/>
              </w:rPr>
            </w:pPr>
          </w:p>
        </w:tc>
      </w:tr>
    </w:tbl>
    <w:p w14:paraId="35FB1391" w14:textId="77777777" w:rsidR="00AF1011" w:rsidRPr="00AF1011" w:rsidRDefault="00AF1011" w:rsidP="00AF1011">
      <w:pPr>
        <w:spacing w:before="120"/>
        <w:rPr>
          <w:rFonts w:ascii="Arial Narrow" w:hAnsi="Arial Narrow"/>
          <w:lang w:eastAsia="en-US"/>
        </w:rPr>
      </w:pP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tblGrid>
      <w:tr w:rsidR="00AF1011" w:rsidRPr="00AF1011" w14:paraId="052A649F" w14:textId="77777777" w:rsidTr="00FA49BC">
        <w:tc>
          <w:tcPr>
            <w:tcW w:w="3119" w:type="dxa"/>
            <w:tcBorders>
              <w:top w:val="single" w:sz="4" w:space="0" w:color="auto"/>
              <w:left w:val="single" w:sz="4" w:space="0" w:color="auto"/>
              <w:bottom w:val="single" w:sz="4" w:space="0" w:color="auto"/>
              <w:right w:val="single" w:sz="4" w:space="0" w:color="auto"/>
            </w:tcBorders>
            <w:hideMark/>
          </w:tcPr>
          <w:p w14:paraId="7C2A7DD6" w14:textId="77777777" w:rsidR="00AF1011" w:rsidRPr="00AF1011" w:rsidRDefault="00AF1011" w:rsidP="00AF1011">
            <w:pPr>
              <w:keepNext/>
              <w:jc w:val="right"/>
              <w:rPr>
                <w:rFonts w:ascii="Arial Narrow" w:hAnsi="Arial Narrow"/>
                <w:b/>
                <w:smallCaps/>
                <w:lang w:eastAsia="en-US"/>
              </w:rPr>
            </w:pPr>
            <w:r w:rsidRPr="00AF1011">
              <w:rPr>
                <w:rFonts w:ascii="Arial Narrow" w:hAnsi="Arial Narrow"/>
                <w:b/>
                <w:smallCaps/>
                <w:lang w:eastAsia="en-US"/>
              </w:rPr>
              <w:t>KONTAKT PODACI</w:t>
            </w:r>
          </w:p>
        </w:tc>
      </w:tr>
    </w:tbl>
    <w:p w14:paraId="4662CE33" w14:textId="77777777" w:rsidR="00AF1011" w:rsidRPr="00AF1011" w:rsidRDefault="00AF1011" w:rsidP="00AF1011">
      <w:pPr>
        <w:spacing w:before="120"/>
        <w:rPr>
          <w:rFonts w:ascii="Arial Narrow" w:hAnsi="Arial Narrow"/>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4"/>
        <w:gridCol w:w="3150"/>
        <w:gridCol w:w="1440"/>
        <w:gridCol w:w="2214"/>
      </w:tblGrid>
      <w:tr w:rsidR="00AF1011" w:rsidRPr="00AF1011" w14:paraId="38326654" w14:textId="77777777" w:rsidTr="00FA49BC">
        <w:tc>
          <w:tcPr>
            <w:tcW w:w="3119" w:type="dxa"/>
            <w:vMerge w:val="restart"/>
            <w:tcBorders>
              <w:top w:val="single" w:sz="4" w:space="0" w:color="auto"/>
              <w:left w:val="single" w:sz="4" w:space="0" w:color="auto"/>
              <w:right w:val="single" w:sz="4" w:space="0" w:color="auto"/>
            </w:tcBorders>
            <w:hideMark/>
          </w:tcPr>
          <w:p w14:paraId="578D5B55" w14:textId="77777777" w:rsidR="00AF1011" w:rsidRPr="00AF1011" w:rsidRDefault="00AF1011" w:rsidP="00AF1011">
            <w:pPr>
              <w:keepNext/>
              <w:spacing w:before="40" w:after="40"/>
              <w:jc w:val="right"/>
              <w:rPr>
                <w:rFonts w:ascii="Arial Narrow" w:hAnsi="Arial Narrow"/>
                <w:lang w:eastAsia="en-US"/>
              </w:rPr>
            </w:pPr>
            <w:r w:rsidRPr="00AF1011">
              <w:rPr>
                <w:rFonts w:ascii="Arial Narrow" w:hAnsi="Arial Narrow"/>
                <w:lang w:eastAsia="en-US"/>
              </w:rPr>
              <w:t>ADRESA STANOVANJA</w:t>
            </w:r>
            <w:r w:rsidRPr="00AF1011">
              <w:rPr>
                <w:rFonts w:cs="Arial"/>
                <w:b/>
                <w:color w:val="C00000"/>
                <w:sz w:val="20"/>
                <w:szCs w:val="20"/>
                <w:vertAlign w:val="superscript"/>
                <w:lang w:val="en-US" w:eastAsia="en-US"/>
              </w:rPr>
              <w:t>1</w:t>
            </w:r>
          </w:p>
        </w:tc>
        <w:tc>
          <w:tcPr>
            <w:tcW w:w="284" w:type="dxa"/>
            <w:tcBorders>
              <w:top w:val="nil"/>
              <w:left w:val="single" w:sz="4" w:space="0" w:color="auto"/>
              <w:bottom w:val="nil"/>
              <w:right w:val="single" w:sz="4" w:space="0" w:color="auto"/>
            </w:tcBorders>
          </w:tcPr>
          <w:p w14:paraId="64F5BFCB" w14:textId="77777777" w:rsidR="00AF1011" w:rsidRPr="00AF1011" w:rsidRDefault="00AF1011" w:rsidP="00AF1011">
            <w:pPr>
              <w:spacing w:before="40" w:after="40"/>
              <w:rPr>
                <w:rFonts w:ascii="Arial Narrow" w:hAnsi="Arial Narrow"/>
                <w:lang w:eastAsia="en-US"/>
              </w:rPr>
            </w:pPr>
          </w:p>
        </w:tc>
        <w:tc>
          <w:tcPr>
            <w:tcW w:w="3150" w:type="dxa"/>
            <w:tcBorders>
              <w:top w:val="single" w:sz="4" w:space="0" w:color="auto"/>
              <w:left w:val="single" w:sz="4" w:space="0" w:color="auto"/>
              <w:bottom w:val="single" w:sz="4" w:space="0" w:color="auto"/>
              <w:right w:val="single" w:sz="4" w:space="0" w:color="auto"/>
            </w:tcBorders>
          </w:tcPr>
          <w:p w14:paraId="42CBA883"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lang w:eastAsia="en-US"/>
              </w:rPr>
              <w:t>Ulica i kućni broj</w:t>
            </w:r>
          </w:p>
        </w:tc>
        <w:tc>
          <w:tcPr>
            <w:tcW w:w="1440" w:type="dxa"/>
            <w:tcBorders>
              <w:top w:val="single" w:sz="4" w:space="0" w:color="auto"/>
              <w:left w:val="single" w:sz="4" w:space="0" w:color="auto"/>
              <w:bottom w:val="single" w:sz="4" w:space="0" w:color="auto"/>
              <w:right w:val="single" w:sz="4" w:space="0" w:color="auto"/>
            </w:tcBorders>
          </w:tcPr>
          <w:p w14:paraId="1A0C744C"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lang w:eastAsia="en-US"/>
              </w:rPr>
              <w:t>Poštanski broj</w:t>
            </w:r>
          </w:p>
        </w:tc>
        <w:tc>
          <w:tcPr>
            <w:tcW w:w="2214" w:type="dxa"/>
            <w:tcBorders>
              <w:top w:val="single" w:sz="4" w:space="0" w:color="auto"/>
              <w:left w:val="single" w:sz="4" w:space="0" w:color="auto"/>
              <w:bottom w:val="single" w:sz="4" w:space="0" w:color="auto"/>
              <w:right w:val="single" w:sz="4" w:space="0" w:color="auto"/>
            </w:tcBorders>
          </w:tcPr>
          <w:p w14:paraId="6AD63EC1"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lang w:eastAsia="en-US"/>
              </w:rPr>
              <w:t>Grad</w:t>
            </w:r>
          </w:p>
        </w:tc>
      </w:tr>
      <w:tr w:rsidR="00AF1011" w:rsidRPr="00AF1011" w14:paraId="105C3AA2" w14:textId="77777777" w:rsidTr="00FA49BC">
        <w:tc>
          <w:tcPr>
            <w:tcW w:w="3119" w:type="dxa"/>
            <w:vMerge/>
            <w:tcBorders>
              <w:left w:val="single" w:sz="4" w:space="0" w:color="auto"/>
              <w:bottom w:val="single" w:sz="4" w:space="0" w:color="auto"/>
              <w:right w:val="single" w:sz="4" w:space="0" w:color="auto"/>
            </w:tcBorders>
            <w:hideMark/>
          </w:tcPr>
          <w:p w14:paraId="008C73DE" w14:textId="77777777" w:rsidR="00AF1011" w:rsidRPr="00AF1011" w:rsidRDefault="00AF1011" w:rsidP="00AF1011">
            <w:pPr>
              <w:keepNext/>
              <w:spacing w:before="20" w:after="20"/>
              <w:jc w:val="right"/>
              <w:rPr>
                <w:rFonts w:ascii="Arial Narrow" w:hAnsi="Arial Narrow"/>
                <w:lang w:eastAsia="en-US"/>
              </w:rPr>
            </w:pPr>
          </w:p>
        </w:tc>
        <w:tc>
          <w:tcPr>
            <w:tcW w:w="284" w:type="dxa"/>
            <w:tcBorders>
              <w:top w:val="nil"/>
              <w:left w:val="single" w:sz="4" w:space="0" w:color="auto"/>
              <w:bottom w:val="nil"/>
              <w:right w:val="single" w:sz="4" w:space="0" w:color="auto"/>
            </w:tcBorders>
          </w:tcPr>
          <w:p w14:paraId="2745CCD6" w14:textId="77777777" w:rsidR="00AF1011" w:rsidRPr="00AF1011" w:rsidRDefault="00AF1011" w:rsidP="00AF1011">
            <w:pPr>
              <w:spacing w:before="20" w:after="20"/>
              <w:rPr>
                <w:rFonts w:ascii="Arial Narrow" w:hAnsi="Arial Narrow"/>
                <w:lang w:eastAsia="en-US"/>
              </w:rPr>
            </w:pPr>
          </w:p>
        </w:tc>
        <w:tc>
          <w:tcPr>
            <w:tcW w:w="3150" w:type="dxa"/>
            <w:tcBorders>
              <w:top w:val="single" w:sz="4" w:space="0" w:color="auto"/>
              <w:left w:val="single" w:sz="4" w:space="0" w:color="auto"/>
              <w:bottom w:val="single" w:sz="4" w:space="0" w:color="auto"/>
              <w:right w:val="single" w:sz="4" w:space="0" w:color="auto"/>
            </w:tcBorders>
          </w:tcPr>
          <w:p w14:paraId="3BD008A2" w14:textId="77777777" w:rsidR="00AF1011" w:rsidRPr="00AF1011" w:rsidRDefault="00AF1011" w:rsidP="00AF1011">
            <w:pPr>
              <w:tabs>
                <w:tab w:val="left" w:pos="708"/>
                <w:tab w:val="center" w:pos="4153"/>
                <w:tab w:val="right" w:pos="8306"/>
              </w:tabs>
              <w:spacing w:before="40" w:after="40"/>
              <w:rPr>
                <w:rFonts w:ascii="Arial Narrow" w:hAnsi="Arial Narrow"/>
                <w:lang w:eastAsia="en-US"/>
              </w:rPr>
            </w:pPr>
            <w:r w:rsidRPr="00AF1011">
              <w:rPr>
                <w:rFonts w:ascii="Arial Narrow" w:hAnsi="Arial Narrow"/>
                <w:b/>
                <w:smallCaps/>
                <w:lang w:eastAsia="en-US"/>
              </w:rPr>
              <w:fldChar w:fldCharType="begin">
                <w:ffData>
                  <w:name w:val="Tekst8"/>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fldChar w:fldCharType="end"/>
            </w:r>
          </w:p>
        </w:tc>
        <w:tc>
          <w:tcPr>
            <w:tcW w:w="1440" w:type="dxa"/>
            <w:tcBorders>
              <w:top w:val="single" w:sz="4" w:space="0" w:color="auto"/>
              <w:left w:val="single" w:sz="4" w:space="0" w:color="auto"/>
              <w:bottom w:val="single" w:sz="4" w:space="0" w:color="auto"/>
              <w:right w:val="single" w:sz="4" w:space="0" w:color="auto"/>
            </w:tcBorders>
          </w:tcPr>
          <w:p w14:paraId="36E7FA7E" w14:textId="77777777" w:rsidR="00AF1011" w:rsidRPr="00AF1011" w:rsidRDefault="00AF1011" w:rsidP="00AF1011">
            <w:pPr>
              <w:widowControl w:val="0"/>
              <w:tabs>
                <w:tab w:val="left" w:pos="708"/>
                <w:tab w:val="center" w:pos="4153"/>
                <w:tab w:val="right" w:pos="8306"/>
              </w:tabs>
              <w:spacing w:before="40" w:after="40"/>
              <w:rPr>
                <w:rFonts w:ascii="Arial Narrow" w:hAnsi="Arial Narrow"/>
                <w:b/>
                <w:smallCaps/>
                <w:highlight w:val="yellow"/>
                <w:lang w:eastAsia="en-US"/>
              </w:rPr>
            </w:pPr>
            <w:r w:rsidRPr="00AF1011">
              <w:rPr>
                <w:rFonts w:ascii="Arial Narrow" w:hAnsi="Arial Narrow"/>
                <w:b/>
                <w:smallCaps/>
                <w:lang w:eastAsia="en-US"/>
              </w:rPr>
              <w:fldChar w:fldCharType="begin">
                <w:ffData>
                  <w:name w:val="Tekst8"/>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t> </w:t>
            </w:r>
            <w:r w:rsidRPr="00AF1011">
              <w:rPr>
                <w:rFonts w:ascii="Arial Narrow" w:hAnsi="Arial Narrow"/>
                <w:b/>
                <w:smallCaps/>
                <w:lang w:eastAsia="en-US"/>
              </w:rPr>
              <w:fldChar w:fldCharType="end"/>
            </w:r>
          </w:p>
        </w:tc>
        <w:tc>
          <w:tcPr>
            <w:tcW w:w="2214" w:type="dxa"/>
            <w:tcBorders>
              <w:top w:val="single" w:sz="4" w:space="0" w:color="auto"/>
              <w:left w:val="single" w:sz="4" w:space="0" w:color="auto"/>
              <w:bottom w:val="single" w:sz="4" w:space="0" w:color="auto"/>
              <w:right w:val="single" w:sz="4" w:space="0" w:color="auto"/>
            </w:tcBorders>
          </w:tcPr>
          <w:p w14:paraId="7C818870" w14:textId="77777777" w:rsidR="00AF1011" w:rsidRPr="00AF1011" w:rsidRDefault="00AF1011" w:rsidP="00AF1011">
            <w:pPr>
              <w:widowControl w:val="0"/>
              <w:tabs>
                <w:tab w:val="left" w:pos="708"/>
                <w:tab w:val="center" w:pos="4153"/>
                <w:tab w:val="right" w:pos="8306"/>
              </w:tabs>
              <w:spacing w:before="40" w:after="40"/>
              <w:rPr>
                <w:rFonts w:ascii="Arial Narrow" w:hAnsi="Arial Narrow"/>
                <w:b/>
                <w:smallCaps/>
                <w:lang w:eastAsia="en-US"/>
              </w:rPr>
            </w:pPr>
            <w:r w:rsidRPr="00AF1011">
              <w:rPr>
                <w:rFonts w:ascii="Arial Narrow" w:hAnsi="Arial Narrow"/>
                <w:b/>
                <w:smallCaps/>
                <w:lang w:eastAsia="en-US"/>
              </w:rPr>
              <w:fldChar w:fldCharType="begin">
                <w:ffData>
                  <w:name w:val="Tekst8"/>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p>
        </w:tc>
      </w:tr>
      <w:tr w:rsidR="00AF1011" w:rsidRPr="00AF1011" w14:paraId="62BDA302" w14:textId="77777777" w:rsidTr="00FA49BC">
        <w:tblPrEx>
          <w:tblLook w:val="0000" w:firstRow="0" w:lastRow="0" w:firstColumn="0" w:lastColumn="0" w:noHBand="0" w:noVBand="0"/>
        </w:tblPrEx>
        <w:trPr>
          <w:trHeight w:val="270"/>
        </w:trPr>
        <w:tc>
          <w:tcPr>
            <w:tcW w:w="3119" w:type="dxa"/>
          </w:tcPr>
          <w:p w14:paraId="3D421BC3" w14:textId="77777777" w:rsidR="00AF1011" w:rsidRPr="00AF1011" w:rsidRDefault="00AF1011" w:rsidP="00AF1011">
            <w:pPr>
              <w:keepNext/>
              <w:spacing w:before="40" w:after="40"/>
              <w:jc w:val="right"/>
              <w:rPr>
                <w:rFonts w:ascii="Arial Narrow" w:hAnsi="Arial Narrow"/>
                <w:lang w:eastAsia="en-US"/>
              </w:rPr>
            </w:pPr>
            <w:r w:rsidRPr="00AF1011">
              <w:rPr>
                <w:rFonts w:ascii="Arial Narrow" w:hAnsi="Arial Narrow"/>
                <w:lang w:eastAsia="en-US"/>
              </w:rPr>
              <w:t>Broj telefona / mobitela</w:t>
            </w:r>
            <w:r w:rsidRPr="00AF1011">
              <w:rPr>
                <w:rFonts w:cs="Arial"/>
                <w:b/>
                <w:color w:val="C00000"/>
                <w:sz w:val="20"/>
                <w:szCs w:val="20"/>
                <w:vertAlign w:val="superscript"/>
                <w:lang w:val="en-US" w:eastAsia="en-US"/>
              </w:rPr>
              <w:t>1</w:t>
            </w:r>
          </w:p>
        </w:tc>
        <w:tc>
          <w:tcPr>
            <w:tcW w:w="284" w:type="dxa"/>
            <w:tcBorders>
              <w:top w:val="nil"/>
              <w:bottom w:val="nil"/>
            </w:tcBorders>
            <w:shd w:val="clear" w:color="auto" w:fill="auto"/>
          </w:tcPr>
          <w:p w14:paraId="2C2FE98C" w14:textId="77777777" w:rsidR="00AF1011" w:rsidRPr="00AF1011" w:rsidRDefault="00AF1011" w:rsidP="00AF1011">
            <w:pPr>
              <w:spacing w:before="40" w:after="40"/>
              <w:rPr>
                <w:rFonts w:ascii="Arial Narrow" w:hAnsi="Arial Narrow"/>
                <w:lang w:eastAsia="en-US"/>
              </w:rPr>
            </w:pPr>
          </w:p>
        </w:tc>
        <w:tc>
          <w:tcPr>
            <w:tcW w:w="6804" w:type="dxa"/>
            <w:gridSpan w:val="3"/>
            <w:shd w:val="clear" w:color="auto" w:fill="auto"/>
          </w:tcPr>
          <w:p w14:paraId="451F744E" w14:textId="77777777" w:rsidR="00AF1011" w:rsidRPr="00AF1011" w:rsidRDefault="00AF1011" w:rsidP="00AF1011">
            <w:pPr>
              <w:tabs>
                <w:tab w:val="left" w:pos="708"/>
                <w:tab w:val="center" w:pos="4153"/>
                <w:tab w:val="right" w:pos="8306"/>
              </w:tabs>
              <w:spacing w:before="40" w:after="40"/>
              <w:rPr>
                <w:rFonts w:ascii="Arial Narrow" w:hAnsi="Arial Narrow"/>
                <w:highlight w:val="yellow"/>
                <w:lang w:eastAsia="en-US"/>
              </w:rPr>
            </w:pPr>
            <w:r w:rsidRPr="00AF1011">
              <w:rPr>
                <w:rFonts w:ascii="Arial Narrow" w:hAnsi="Arial Narrow"/>
                <w:b/>
                <w:smallCaps/>
                <w:lang w:eastAsia="en-US"/>
              </w:rPr>
              <w:fldChar w:fldCharType="begin">
                <w:ffData>
                  <w:name w:val="Tekst8"/>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p>
        </w:tc>
      </w:tr>
      <w:tr w:rsidR="00AF1011" w:rsidRPr="00AF1011" w14:paraId="46C64275" w14:textId="77777777" w:rsidTr="00FA49BC">
        <w:tblPrEx>
          <w:tblLook w:val="0000" w:firstRow="0" w:lastRow="0" w:firstColumn="0" w:lastColumn="0" w:noHBand="0" w:noVBand="0"/>
        </w:tblPrEx>
        <w:trPr>
          <w:trHeight w:val="288"/>
        </w:trPr>
        <w:tc>
          <w:tcPr>
            <w:tcW w:w="3119" w:type="dxa"/>
          </w:tcPr>
          <w:p w14:paraId="2023794B" w14:textId="77777777" w:rsidR="00AF1011" w:rsidRPr="00AF1011" w:rsidRDefault="00AF1011" w:rsidP="00AF1011">
            <w:pPr>
              <w:widowControl w:val="0"/>
              <w:spacing w:before="20" w:after="20"/>
              <w:ind w:left="108"/>
              <w:jc w:val="right"/>
              <w:rPr>
                <w:rFonts w:ascii="Arial Narrow" w:hAnsi="Arial Narrow"/>
                <w:lang w:eastAsia="en-US"/>
              </w:rPr>
            </w:pPr>
            <w:r w:rsidRPr="00AF1011">
              <w:rPr>
                <w:rFonts w:ascii="Arial Narrow" w:hAnsi="Arial Narrow"/>
                <w:lang w:eastAsia="en-US"/>
              </w:rPr>
              <w:t>e-mail</w:t>
            </w:r>
            <w:r w:rsidRPr="00AF1011">
              <w:rPr>
                <w:rFonts w:cs="Arial"/>
                <w:sz w:val="20"/>
                <w:szCs w:val="20"/>
                <w:vertAlign w:val="superscript"/>
                <w:lang w:val="en-US" w:eastAsia="en-US"/>
              </w:rPr>
              <w:t>2</w:t>
            </w:r>
          </w:p>
        </w:tc>
        <w:tc>
          <w:tcPr>
            <w:tcW w:w="284" w:type="dxa"/>
            <w:tcBorders>
              <w:top w:val="nil"/>
              <w:bottom w:val="nil"/>
            </w:tcBorders>
            <w:shd w:val="clear" w:color="auto" w:fill="auto"/>
          </w:tcPr>
          <w:p w14:paraId="0BF0E580" w14:textId="77777777" w:rsidR="00AF1011" w:rsidRPr="00AF1011" w:rsidRDefault="00AF1011" w:rsidP="00AF1011">
            <w:pPr>
              <w:spacing w:after="200" w:line="276" w:lineRule="auto"/>
              <w:rPr>
                <w:rFonts w:ascii="Arial Narrow" w:hAnsi="Arial Narrow"/>
                <w:lang w:eastAsia="en-US"/>
              </w:rPr>
            </w:pPr>
          </w:p>
        </w:tc>
        <w:tc>
          <w:tcPr>
            <w:tcW w:w="6804" w:type="dxa"/>
            <w:gridSpan w:val="3"/>
            <w:shd w:val="clear" w:color="auto" w:fill="auto"/>
          </w:tcPr>
          <w:p w14:paraId="33A11C45" w14:textId="77777777" w:rsidR="00AF1011" w:rsidRPr="00AF1011" w:rsidRDefault="00AF1011" w:rsidP="00AF1011">
            <w:pPr>
              <w:spacing w:before="40" w:after="40" w:line="276" w:lineRule="auto"/>
              <w:rPr>
                <w:rFonts w:ascii="Arial Narrow" w:hAnsi="Arial Narrow"/>
                <w:highlight w:val="yellow"/>
                <w:lang w:eastAsia="en-US"/>
              </w:rPr>
            </w:pPr>
            <w:r w:rsidRPr="00AF1011">
              <w:rPr>
                <w:rFonts w:ascii="Arial Narrow" w:hAnsi="Arial Narrow"/>
                <w:b/>
                <w:smallCaps/>
                <w:lang w:eastAsia="en-US"/>
              </w:rPr>
              <w:fldChar w:fldCharType="begin">
                <w:ffData>
                  <w:name w:val="Tekst8"/>
                  <w:enabled/>
                  <w:calcOnExit w:val="0"/>
                  <w:textInput/>
                </w:ffData>
              </w:fldChar>
            </w:r>
            <w:r w:rsidRPr="00AF1011">
              <w:rPr>
                <w:rFonts w:ascii="Arial Narrow" w:hAnsi="Arial Narrow"/>
                <w:b/>
                <w:smallCaps/>
                <w:lang w:eastAsia="en-US"/>
              </w:rPr>
              <w:instrText xml:space="preserve"> FORMTEXT </w:instrText>
            </w:r>
            <w:r w:rsidRPr="00AF1011">
              <w:rPr>
                <w:rFonts w:ascii="Arial Narrow" w:hAnsi="Arial Narrow"/>
                <w:b/>
                <w:smallCaps/>
                <w:lang w:eastAsia="en-US"/>
              </w:rPr>
            </w:r>
            <w:r w:rsidRPr="00AF1011">
              <w:rPr>
                <w:rFonts w:ascii="Arial Narrow" w:hAnsi="Arial Narrow"/>
                <w:b/>
                <w:smallCaps/>
                <w:lang w:eastAsia="en-US"/>
              </w:rPr>
              <w:fldChar w:fldCharType="separate"/>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noProof/>
                <w:lang w:eastAsia="en-US"/>
              </w:rPr>
              <w:t> </w:t>
            </w:r>
            <w:r w:rsidRPr="00AF1011">
              <w:rPr>
                <w:rFonts w:ascii="Arial Narrow" w:hAnsi="Arial Narrow"/>
                <w:b/>
                <w:smallCaps/>
                <w:lang w:eastAsia="en-US"/>
              </w:rPr>
              <w:fldChar w:fldCharType="end"/>
            </w:r>
          </w:p>
        </w:tc>
      </w:tr>
    </w:tbl>
    <w:p w14:paraId="3EF04F9B" w14:textId="77777777" w:rsidR="00AF1011" w:rsidRPr="00AF1011" w:rsidRDefault="00AF1011" w:rsidP="00AF1011">
      <w:pPr>
        <w:rPr>
          <w:rFonts w:ascii="Arial Narrow" w:hAnsi="Arial Narrow"/>
          <w:lang w:eastAsia="en-US"/>
        </w:rPr>
      </w:pP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7"/>
        <w:gridCol w:w="283"/>
        <w:gridCol w:w="6807"/>
      </w:tblGrid>
      <w:tr w:rsidR="00AF1011" w:rsidRPr="00AF1011" w14:paraId="65946BAA" w14:textId="77777777" w:rsidTr="00FA49BC">
        <w:tc>
          <w:tcPr>
            <w:tcW w:w="3117" w:type="dxa"/>
            <w:tcBorders>
              <w:top w:val="single" w:sz="4" w:space="0" w:color="auto"/>
              <w:left w:val="single" w:sz="4" w:space="0" w:color="auto"/>
              <w:bottom w:val="single" w:sz="4" w:space="0" w:color="auto"/>
              <w:right w:val="single" w:sz="4" w:space="0" w:color="auto"/>
            </w:tcBorders>
          </w:tcPr>
          <w:p w14:paraId="242AC3A1" w14:textId="77777777" w:rsidR="00AF1011" w:rsidRPr="00AF1011" w:rsidRDefault="00AF1011" w:rsidP="00AF1011">
            <w:pPr>
              <w:rPr>
                <w:rFonts w:ascii="Arial Narrow" w:hAnsi="Arial Narrow"/>
                <w:b/>
                <w:lang w:eastAsia="en-US"/>
              </w:rPr>
            </w:pPr>
            <w:r w:rsidRPr="00AF1011">
              <w:rPr>
                <w:rFonts w:ascii="Arial Narrow" w:hAnsi="Arial Narrow"/>
                <w:b/>
                <w:lang w:eastAsia="en-US"/>
              </w:rPr>
              <w:t>PRAVO PREDNOSTI NA KOJE SE KANDIDAT POZIVA</w:t>
            </w:r>
            <w:r w:rsidRPr="00AF1011">
              <w:rPr>
                <w:rFonts w:cs="Arial"/>
                <w:sz w:val="20"/>
                <w:szCs w:val="20"/>
                <w:vertAlign w:val="superscript"/>
                <w:lang w:val="en-US" w:eastAsia="en-US"/>
              </w:rPr>
              <w:t>3</w:t>
            </w:r>
            <w:r w:rsidRPr="00AF1011">
              <w:rPr>
                <w:rFonts w:ascii="Arial Narrow" w:hAnsi="Arial Narrow"/>
                <w:b/>
                <w:lang w:eastAsia="en-US"/>
              </w:rPr>
              <w:t xml:space="preserve">  </w:t>
            </w:r>
          </w:p>
          <w:p w14:paraId="179FB48F" w14:textId="77777777" w:rsidR="00AF1011" w:rsidRPr="00AF1011" w:rsidRDefault="00AF1011" w:rsidP="00AF1011">
            <w:pPr>
              <w:rPr>
                <w:rFonts w:ascii="Arial Narrow" w:hAnsi="Arial Narrow"/>
                <w:lang w:eastAsia="en-US"/>
              </w:rPr>
            </w:pPr>
            <w:r w:rsidRPr="00AF1011">
              <w:rPr>
                <w:rFonts w:ascii="Arial Narrow" w:hAnsi="Arial Narrow"/>
                <w:lang w:eastAsia="en-US"/>
              </w:rPr>
              <w:t xml:space="preserve">(zaokružiti pravo prednosti na koje se kandidat poziva i priložiti potrebnu dokumentaciju): </w:t>
            </w:r>
          </w:p>
        </w:tc>
        <w:tc>
          <w:tcPr>
            <w:tcW w:w="283" w:type="dxa"/>
            <w:tcBorders>
              <w:top w:val="nil"/>
              <w:left w:val="single" w:sz="4" w:space="0" w:color="auto"/>
              <w:bottom w:val="nil"/>
              <w:right w:val="single" w:sz="4" w:space="0" w:color="auto"/>
            </w:tcBorders>
          </w:tcPr>
          <w:p w14:paraId="64DE86D9" w14:textId="77777777" w:rsidR="00AF1011" w:rsidRPr="00AF1011" w:rsidRDefault="00AF1011" w:rsidP="00AF1011">
            <w:pPr>
              <w:spacing w:before="20" w:after="20"/>
              <w:rPr>
                <w:rFonts w:ascii="Arial Narrow" w:hAnsi="Arial Narrow"/>
                <w:lang w:eastAsia="en-US"/>
              </w:rPr>
            </w:pPr>
          </w:p>
        </w:tc>
        <w:tc>
          <w:tcPr>
            <w:tcW w:w="6807" w:type="dxa"/>
            <w:tcBorders>
              <w:top w:val="single" w:sz="4" w:space="0" w:color="auto"/>
              <w:left w:val="single" w:sz="4" w:space="0" w:color="auto"/>
              <w:bottom w:val="single" w:sz="4" w:space="0" w:color="auto"/>
              <w:right w:val="single" w:sz="4" w:space="0" w:color="auto"/>
            </w:tcBorders>
          </w:tcPr>
          <w:p w14:paraId="47E815D0" w14:textId="77777777" w:rsidR="00AF1011" w:rsidRPr="00AF1011" w:rsidRDefault="00AF1011" w:rsidP="00AF1011">
            <w:pPr>
              <w:widowControl w:val="0"/>
              <w:numPr>
                <w:ilvl w:val="0"/>
                <w:numId w:val="8"/>
              </w:numPr>
              <w:ind w:left="316" w:hanging="316"/>
              <w:contextualSpacing/>
              <w:rPr>
                <w:rFonts w:ascii="Arial" w:hAnsi="Arial" w:cs="Arial"/>
                <w:sz w:val="20"/>
                <w:szCs w:val="20"/>
              </w:rPr>
            </w:pPr>
            <w:r w:rsidRPr="00AF1011">
              <w:rPr>
                <w:rFonts w:ascii="Arial" w:hAnsi="Arial" w:cs="Arial"/>
                <w:sz w:val="20"/>
                <w:szCs w:val="20"/>
              </w:rPr>
              <w:t>prema članku 101. Zakon o hrvatskim braniteljima iz Domovinskog rata i članovima njihovih obitelji („Narodne novine“, broj 121/17, 98/19 i 84/21)</w:t>
            </w:r>
          </w:p>
          <w:p w14:paraId="2D99A461" w14:textId="77777777" w:rsidR="00AF1011" w:rsidRPr="00AF1011" w:rsidRDefault="00AF1011" w:rsidP="00AF1011">
            <w:pPr>
              <w:widowControl w:val="0"/>
              <w:numPr>
                <w:ilvl w:val="0"/>
                <w:numId w:val="8"/>
              </w:numPr>
              <w:ind w:left="316" w:hanging="316"/>
              <w:contextualSpacing/>
              <w:rPr>
                <w:rFonts w:ascii="Arial" w:hAnsi="Arial" w:cs="Arial"/>
                <w:sz w:val="20"/>
                <w:szCs w:val="20"/>
              </w:rPr>
            </w:pPr>
            <w:r w:rsidRPr="00AF1011">
              <w:rPr>
                <w:rFonts w:ascii="Arial" w:hAnsi="Arial" w:cs="Arial"/>
                <w:sz w:val="20"/>
                <w:szCs w:val="20"/>
              </w:rPr>
              <w:t>prema članku 47. Zakona o civilnim stradalnicima iz Domovinskog rata ( „Narodne novine“, broj 84/21)</w:t>
            </w:r>
          </w:p>
          <w:p w14:paraId="7A43F294" w14:textId="77777777" w:rsidR="00AF1011" w:rsidRPr="00AF1011" w:rsidRDefault="00AF1011" w:rsidP="00AF1011">
            <w:pPr>
              <w:widowControl w:val="0"/>
              <w:numPr>
                <w:ilvl w:val="0"/>
                <w:numId w:val="8"/>
              </w:numPr>
              <w:ind w:left="350" w:hanging="350"/>
              <w:contextualSpacing/>
              <w:rPr>
                <w:rFonts w:ascii="Arial" w:hAnsi="Arial" w:cs="Arial"/>
                <w:sz w:val="20"/>
                <w:szCs w:val="20"/>
              </w:rPr>
            </w:pPr>
            <w:r w:rsidRPr="00AF1011">
              <w:rPr>
                <w:rFonts w:ascii="Arial" w:hAnsi="Arial" w:cs="Arial"/>
                <w:sz w:val="20"/>
                <w:szCs w:val="20"/>
              </w:rPr>
              <w:t>prema članku 48. f  Zakona o zaštiti vojnih i civilnih invalida rata   („Narodne novine“, broj 33/92, 77/92, 27/93, 58/93, 2/94, 76/94, 108/95, 108/96, 82/01 i 103/03, 148/13 i 98/19)</w:t>
            </w:r>
          </w:p>
          <w:p w14:paraId="1BBE13B3" w14:textId="77777777" w:rsidR="00AF1011" w:rsidRPr="00AF1011" w:rsidRDefault="00AF1011" w:rsidP="00AF1011">
            <w:pPr>
              <w:widowControl w:val="0"/>
              <w:numPr>
                <w:ilvl w:val="0"/>
                <w:numId w:val="8"/>
              </w:numPr>
              <w:ind w:left="349" w:hanging="349"/>
              <w:contextualSpacing/>
              <w:rPr>
                <w:rFonts w:ascii="Arial" w:hAnsi="Arial" w:cs="Arial"/>
                <w:sz w:val="20"/>
                <w:szCs w:val="20"/>
              </w:rPr>
            </w:pPr>
            <w:r w:rsidRPr="00AF1011">
              <w:rPr>
                <w:rFonts w:ascii="Arial" w:hAnsi="Arial" w:cs="Arial"/>
                <w:sz w:val="20"/>
                <w:szCs w:val="20"/>
              </w:rPr>
              <w:t>prema članku 9. Zakona o profesionalnoj rehabilitaciji i               zapošljavanju osoba s invaliditetom („Narodne novine“, broj 157/13, 152/14, 38/18 i 32/20)</w:t>
            </w:r>
          </w:p>
          <w:p w14:paraId="66067E49" w14:textId="77777777" w:rsidR="00AF1011" w:rsidRPr="00AF1011" w:rsidRDefault="00AF1011" w:rsidP="00AF1011">
            <w:pPr>
              <w:ind w:left="37"/>
              <w:rPr>
                <w:rFonts w:ascii="Arial" w:hAnsi="Arial" w:cs="Arial"/>
                <w:sz w:val="20"/>
                <w:szCs w:val="20"/>
              </w:rPr>
            </w:pPr>
            <w:r w:rsidRPr="00AF1011">
              <w:rPr>
                <w:rFonts w:ascii="Arial" w:hAnsi="Arial" w:cs="Arial"/>
                <w:sz w:val="20"/>
                <w:szCs w:val="20"/>
              </w:rPr>
              <w:t xml:space="preserve">e)  prema članku 22. Ustavnog zakona o pravima nacionalnih manjina </w:t>
            </w:r>
          </w:p>
          <w:p w14:paraId="2227A291" w14:textId="77777777" w:rsidR="00AF1011" w:rsidRPr="00AF1011" w:rsidRDefault="00AF1011" w:rsidP="00AF1011">
            <w:pPr>
              <w:ind w:left="37"/>
              <w:rPr>
                <w:rFonts w:ascii="Arial Narrow" w:hAnsi="Arial Narrow"/>
                <w:lang w:eastAsia="en-US"/>
              </w:rPr>
            </w:pPr>
            <w:r w:rsidRPr="00AF1011">
              <w:rPr>
                <w:rFonts w:ascii="Arial" w:hAnsi="Arial" w:cs="Arial"/>
                <w:sz w:val="20"/>
                <w:szCs w:val="20"/>
              </w:rPr>
              <w:t xml:space="preserve">     („Narodne novine“, broj 155/02, 47/10, 80/10 i 93/11)</w:t>
            </w:r>
          </w:p>
        </w:tc>
      </w:tr>
    </w:tbl>
    <w:p w14:paraId="7A092D0D" w14:textId="5E7441B3" w:rsidR="00AF1011" w:rsidRPr="00AF1011" w:rsidRDefault="00AF1011" w:rsidP="00AF1011">
      <w:pPr>
        <w:rPr>
          <w:rFonts w:ascii="Arial Narrow" w:hAnsi="Arial Narrow"/>
          <w:sz w:val="20"/>
          <w:szCs w:val="20"/>
          <w:lang w:eastAsia="en-US"/>
        </w:rPr>
      </w:pPr>
    </w:p>
    <w:p w14:paraId="56FF0EAB" w14:textId="77777777" w:rsidR="00AF1011" w:rsidRPr="00AF1011" w:rsidRDefault="00AF1011" w:rsidP="00AF1011">
      <w:pPr>
        <w:widowControl w:val="0"/>
        <w:rPr>
          <w:b/>
          <w:color w:val="C00000"/>
          <w:sz w:val="20"/>
          <w:szCs w:val="20"/>
          <w:lang w:val="en-US" w:eastAsia="en-US"/>
        </w:rPr>
      </w:pPr>
      <w:r w:rsidRPr="00AF1011">
        <w:rPr>
          <w:b/>
          <w:color w:val="C00000"/>
          <w:sz w:val="20"/>
          <w:szCs w:val="20"/>
          <w:lang w:val="en-US" w:eastAsia="en-US"/>
        </w:rPr>
        <w:t xml:space="preserve">1 – </w:t>
      </w:r>
      <w:proofErr w:type="spellStart"/>
      <w:r w:rsidRPr="00AF1011">
        <w:rPr>
          <w:b/>
          <w:color w:val="C00000"/>
          <w:sz w:val="20"/>
          <w:szCs w:val="20"/>
          <w:lang w:val="en-US" w:eastAsia="en-US"/>
        </w:rPr>
        <w:t>navedene</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podatke</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obavezno</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treba</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popuniti</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jer</w:t>
      </w:r>
      <w:proofErr w:type="spellEnd"/>
      <w:r w:rsidRPr="00AF1011">
        <w:rPr>
          <w:b/>
          <w:color w:val="C00000"/>
          <w:sz w:val="20"/>
          <w:szCs w:val="20"/>
          <w:lang w:val="en-US" w:eastAsia="en-US"/>
        </w:rPr>
        <w:t xml:space="preserve"> se u </w:t>
      </w:r>
      <w:proofErr w:type="spellStart"/>
      <w:r w:rsidRPr="00AF1011">
        <w:rPr>
          <w:b/>
          <w:color w:val="C00000"/>
          <w:sz w:val="20"/>
          <w:szCs w:val="20"/>
          <w:lang w:val="en-US" w:eastAsia="en-US"/>
        </w:rPr>
        <w:t>protivnom</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prijava</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neće</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smatrati</w:t>
      </w:r>
      <w:proofErr w:type="spellEnd"/>
      <w:r w:rsidRPr="00AF1011">
        <w:rPr>
          <w:b/>
          <w:color w:val="C00000"/>
          <w:sz w:val="20"/>
          <w:szCs w:val="20"/>
          <w:lang w:val="en-US" w:eastAsia="en-US"/>
        </w:rPr>
        <w:t xml:space="preserve"> </w:t>
      </w:r>
      <w:proofErr w:type="spellStart"/>
      <w:r w:rsidRPr="00AF1011">
        <w:rPr>
          <w:b/>
          <w:color w:val="C00000"/>
          <w:sz w:val="20"/>
          <w:szCs w:val="20"/>
          <w:lang w:val="en-US" w:eastAsia="en-US"/>
        </w:rPr>
        <w:t>urednom</w:t>
      </w:r>
      <w:proofErr w:type="spellEnd"/>
    </w:p>
    <w:p w14:paraId="11E29C7A" w14:textId="77777777" w:rsidR="00AF1011" w:rsidRPr="00AF1011" w:rsidRDefault="00AF1011" w:rsidP="00AF1011">
      <w:pPr>
        <w:widowControl w:val="0"/>
        <w:rPr>
          <w:sz w:val="20"/>
          <w:szCs w:val="20"/>
          <w:lang w:val="en-US" w:eastAsia="en-US"/>
        </w:rPr>
      </w:pPr>
      <w:r w:rsidRPr="00AF1011">
        <w:rPr>
          <w:sz w:val="20"/>
          <w:szCs w:val="20"/>
          <w:lang w:val="en-US" w:eastAsia="en-US"/>
        </w:rPr>
        <w:t xml:space="preserve">2 – </w:t>
      </w:r>
      <w:proofErr w:type="spellStart"/>
      <w:r w:rsidRPr="00AF1011">
        <w:rPr>
          <w:sz w:val="20"/>
          <w:szCs w:val="20"/>
          <w:lang w:val="en-US" w:eastAsia="en-US"/>
        </w:rPr>
        <w:t>navedene</w:t>
      </w:r>
      <w:proofErr w:type="spellEnd"/>
      <w:r w:rsidRPr="00AF1011">
        <w:rPr>
          <w:sz w:val="20"/>
          <w:szCs w:val="20"/>
          <w:lang w:val="en-US" w:eastAsia="en-US"/>
        </w:rPr>
        <w:t xml:space="preserve"> </w:t>
      </w:r>
      <w:proofErr w:type="spellStart"/>
      <w:r w:rsidRPr="00AF1011">
        <w:rPr>
          <w:sz w:val="20"/>
          <w:szCs w:val="20"/>
          <w:lang w:val="en-US" w:eastAsia="en-US"/>
        </w:rPr>
        <w:t>podatke</w:t>
      </w:r>
      <w:proofErr w:type="spellEnd"/>
      <w:r w:rsidRPr="00AF1011">
        <w:rPr>
          <w:sz w:val="20"/>
          <w:szCs w:val="20"/>
          <w:lang w:val="en-US" w:eastAsia="en-US"/>
        </w:rPr>
        <w:t xml:space="preserve"> </w:t>
      </w:r>
      <w:proofErr w:type="spellStart"/>
      <w:r w:rsidRPr="00AF1011">
        <w:rPr>
          <w:sz w:val="20"/>
          <w:szCs w:val="20"/>
          <w:lang w:val="en-US" w:eastAsia="en-US"/>
        </w:rPr>
        <w:t>preporuča</w:t>
      </w:r>
      <w:proofErr w:type="spellEnd"/>
      <w:r w:rsidRPr="00AF1011">
        <w:rPr>
          <w:sz w:val="20"/>
          <w:szCs w:val="20"/>
          <w:lang w:val="en-US" w:eastAsia="en-US"/>
        </w:rPr>
        <w:t xml:space="preserve"> se </w:t>
      </w:r>
      <w:proofErr w:type="spellStart"/>
      <w:r w:rsidRPr="00AF1011">
        <w:rPr>
          <w:sz w:val="20"/>
          <w:szCs w:val="20"/>
          <w:lang w:val="en-US" w:eastAsia="en-US"/>
        </w:rPr>
        <w:t>popuniti</w:t>
      </w:r>
      <w:proofErr w:type="spellEnd"/>
      <w:r w:rsidRPr="00AF1011">
        <w:rPr>
          <w:sz w:val="20"/>
          <w:szCs w:val="20"/>
          <w:lang w:val="en-US" w:eastAsia="en-US"/>
        </w:rPr>
        <w:t xml:space="preserve"> </w:t>
      </w:r>
      <w:proofErr w:type="spellStart"/>
      <w:r w:rsidRPr="00AF1011">
        <w:rPr>
          <w:sz w:val="20"/>
          <w:szCs w:val="20"/>
          <w:lang w:val="en-US" w:eastAsia="en-US"/>
        </w:rPr>
        <w:t>radi</w:t>
      </w:r>
      <w:proofErr w:type="spellEnd"/>
      <w:r w:rsidRPr="00AF1011">
        <w:rPr>
          <w:sz w:val="20"/>
          <w:szCs w:val="20"/>
          <w:lang w:val="en-US" w:eastAsia="en-US"/>
        </w:rPr>
        <w:t xml:space="preserve"> </w:t>
      </w:r>
      <w:proofErr w:type="spellStart"/>
      <w:r w:rsidRPr="00AF1011">
        <w:rPr>
          <w:sz w:val="20"/>
          <w:szCs w:val="20"/>
          <w:lang w:val="en-US" w:eastAsia="en-US"/>
        </w:rPr>
        <w:t>lakšeg</w:t>
      </w:r>
      <w:proofErr w:type="spellEnd"/>
      <w:r w:rsidRPr="00AF1011">
        <w:rPr>
          <w:sz w:val="20"/>
          <w:szCs w:val="20"/>
          <w:lang w:val="en-US" w:eastAsia="en-US"/>
        </w:rPr>
        <w:t xml:space="preserve"> </w:t>
      </w:r>
      <w:proofErr w:type="spellStart"/>
      <w:r w:rsidRPr="00AF1011">
        <w:rPr>
          <w:sz w:val="20"/>
          <w:szCs w:val="20"/>
          <w:lang w:val="en-US" w:eastAsia="en-US"/>
        </w:rPr>
        <w:t>kontakta</w:t>
      </w:r>
      <w:proofErr w:type="spellEnd"/>
    </w:p>
    <w:p w14:paraId="3D99AC71" w14:textId="36AC52CA" w:rsidR="00AF1011" w:rsidRDefault="00AF1011" w:rsidP="00AF1011">
      <w:pPr>
        <w:widowControl w:val="0"/>
        <w:rPr>
          <w:sz w:val="20"/>
          <w:szCs w:val="20"/>
          <w:lang w:val="en-US" w:eastAsia="en-US"/>
        </w:rPr>
      </w:pPr>
      <w:r w:rsidRPr="00AF1011">
        <w:rPr>
          <w:sz w:val="20"/>
          <w:szCs w:val="20"/>
          <w:lang w:val="en-US" w:eastAsia="en-US"/>
        </w:rPr>
        <w:t xml:space="preserve">3 – </w:t>
      </w:r>
      <w:proofErr w:type="spellStart"/>
      <w:r w:rsidRPr="00AF1011">
        <w:rPr>
          <w:sz w:val="20"/>
          <w:szCs w:val="20"/>
          <w:lang w:val="en-US" w:eastAsia="en-US"/>
        </w:rPr>
        <w:t>popunjavaju</w:t>
      </w:r>
      <w:proofErr w:type="spellEnd"/>
      <w:r w:rsidRPr="00AF1011">
        <w:rPr>
          <w:sz w:val="20"/>
          <w:szCs w:val="20"/>
          <w:lang w:val="en-US" w:eastAsia="en-US"/>
        </w:rPr>
        <w:t xml:space="preserve"> </w:t>
      </w:r>
      <w:proofErr w:type="spellStart"/>
      <w:r w:rsidRPr="00AF1011">
        <w:rPr>
          <w:sz w:val="20"/>
          <w:szCs w:val="20"/>
          <w:lang w:val="en-US" w:eastAsia="en-US"/>
        </w:rPr>
        <w:t>samo</w:t>
      </w:r>
      <w:proofErr w:type="spellEnd"/>
      <w:r w:rsidRPr="00AF1011">
        <w:rPr>
          <w:sz w:val="20"/>
          <w:szCs w:val="20"/>
          <w:lang w:val="en-US" w:eastAsia="en-US"/>
        </w:rPr>
        <w:t xml:space="preserve"> </w:t>
      </w:r>
      <w:proofErr w:type="spellStart"/>
      <w:r w:rsidRPr="00AF1011">
        <w:rPr>
          <w:sz w:val="20"/>
          <w:szCs w:val="20"/>
          <w:lang w:val="en-US" w:eastAsia="en-US"/>
        </w:rPr>
        <w:t>kandidati</w:t>
      </w:r>
      <w:proofErr w:type="spellEnd"/>
      <w:r w:rsidRPr="00AF1011">
        <w:rPr>
          <w:sz w:val="20"/>
          <w:szCs w:val="20"/>
          <w:lang w:val="en-US" w:eastAsia="en-US"/>
        </w:rPr>
        <w:t xml:space="preserve"> </w:t>
      </w:r>
      <w:proofErr w:type="spellStart"/>
      <w:r w:rsidRPr="00AF1011">
        <w:rPr>
          <w:sz w:val="20"/>
          <w:szCs w:val="20"/>
          <w:lang w:val="en-US" w:eastAsia="en-US"/>
        </w:rPr>
        <w:t>koji</w:t>
      </w:r>
      <w:proofErr w:type="spellEnd"/>
      <w:r w:rsidRPr="00AF1011">
        <w:rPr>
          <w:sz w:val="20"/>
          <w:szCs w:val="20"/>
          <w:lang w:val="en-US" w:eastAsia="en-US"/>
        </w:rPr>
        <w:t xml:space="preserve"> se </w:t>
      </w:r>
      <w:proofErr w:type="spellStart"/>
      <w:r w:rsidRPr="00AF1011">
        <w:rPr>
          <w:sz w:val="20"/>
          <w:szCs w:val="20"/>
          <w:lang w:val="en-US" w:eastAsia="en-US"/>
        </w:rPr>
        <w:t>pozivaju</w:t>
      </w:r>
      <w:proofErr w:type="spellEnd"/>
      <w:r w:rsidRPr="00AF1011">
        <w:rPr>
          <w:sz w:val="20"/>
          <w:szCs w:val="20"/>
          <w:lang w:val="en-US" w:eastAsia="en-US"/>
        </w:rPr>
        <w:t xml:space="preserve"> </w:t>
      </w:r>
      <w:proofErr w:type="spellStart"/>
      <w:r w:rsidRPr="00AF1011">
        <w:rPr>
          <w:sz w:val="20"/>
          <w:szCs w:val="20"/>
          <w:lang w:val="en-US" w:eastAsia="en-US"/>
        </w:rPr>
        <w:t>na</w:t>
      </w:r>
      <w:proofErr w:type="spellEnd"/>
      <w:r w:rsidRPr="00AF1011">
        <w:rPr>
          <w:sz w:val="20"/>
          <w:szCs w:val="20"/>
          <w:lang w:val="en-US" w:eastAsia="en-US"/>
        </w:rPr>
        <w:t xml:space="preserve"> </w:t>
      </w:r>
      <w:proofErr w:type="spellStart"/>
      <w:r w:rsidRPr="00AF1011">
        <w:rPr>
          <w:sz w:val="20"/>
          <w:szCs w:val="20"/>
          <w:lang w:val="en-US" w:eastAsia="en-US"/>
        </w:rPr>
        <w:t>pravo</w:t>
      </w:r>
      <w:proofErr w:type="spellEnd"/>
      <w:r w:rsidRPr="00AF1011">
        <w:rPr>
          <w:sz w:val="20"/>
          <w:szCs w:val="20"/>
          <w:lang w:val="en-US" w:eastAsia="en-US"/>
        </w:rPr>
        <w:t xml:space="preserve"> </w:t>
      </w:r>
      <w:proofErr w:type="spellStart"/>
      <w:r w:rsidRPr="00AF1011">
        <w:rPr>
          <w:sz w:val="20"/>
          <w:szCs w:val="20"/>
          <w:lang w:val="en-US" w:eastAsia="en-US"/>
        </w:rPr>
        <w:t>prednosti</w:t>
      </w:r>
      <w:proofErr w:type="spellEnd"/>
    </w:p>
    <w:p w14:paraId="28F6C689" w14:textId="2D0967FD" w:rsidR="00AF1011" w:rsidRDefault="00AF1011" w:rsidP="00AF1011">
      <w:pPr>
        <w:widowControl w:val="0"/>
        <w:rPr>
          <w:sz w:val="20"/>
          <w:szCs w:val="20"/>
          <w:lang w:val="en-US" w:eastAsia="en-US"/>
        </w:rPr>
      </w:pPr>
    </w:p>
    <w:p w14:paraId="0D4950C8" w14:textId="77777777" w:rsidR="00283A41" w:rsidRPr="00AF1011" w:rsidRDefault="00283A41" w:rsidP="00283A41">
      <w:pPr>
        <w:rPr>
          <w:rFonts w:ascii="Arial Narrow" w:hAnsi="Arial Narrow"/>
          <w:sz w:val="20"/>
          <w:szCs w:val="20"/>
          <w:lang w:eastAsia="en-US"/>
        </w:rPr>
      </w:pPr>
    </w:p>
    <w:p w14:paraId="50ACD3CF" w14:textId="77777777" w:rsidR="00283A41" w:rsidRPr="00AF1011" w:rsidRDefault="00283A41" w:rsidP="00283A41">
      <w:pPr>
        <w:tabs>
          <w:tab w:val="left" w:pos="6912"/>
        </w:tabs>
        <w:rPr>
          <w:rFonts w:ascii="Arial Narrow" w:hAnsi="Arial Narrow"/>
          <w:b/>
          <w:sz w:val="20"/>
          <w:szCs w:val="20"/>
          <w:lang w:eastAsia="en-US"/>
        </w:rPr>
      </w:pPr>
      <w:r w:rsidRPr="00AF1011">
        <w:rPr>
          <w:rFonts w:ascii="Arial Narrow" w:hAnsi="Arial Narrow"/>
          <w:b/>
          <w:smallCaps/>
          <w:sz w:val="20"/>
          <w:szCs w:val="20"/>
          <w:lang w:eastAsia="en-US"/>
        </w:rPr>
        <w:fldChar w:fldCharType="begin">
          <w:ffData>
            <w:name w:val="Tekst8"/>
            <w:enabled/>
            <w:calcOnExit w:val="0"/>
            <w:textInput/>
          </w:ffData>
        </w:fldChar>
      </w:r>
      <w:r w:rsidRPr="00AF1011">
        <w:rPr>
          <w:rFonts w:ascii="Arial Narrow" w:hAnsi="Arial Narrow"/>
          <w:b/>
          <w:smallCaps/>
          <w:sz w:val="20"/>
          <w:szCs w:val="20"/>
          <w:lang w:eastAsia="en-US"/>
        </w:rPr>
        <w:instrText xml:space="preserve"> FORMTEXT </w:instrText>
      </w:r>
      <w:r w:rsidRPr="00AF1011">
        <w:rPr>
          <w:rFonts w:ascii="Arial Narrow" w:hAnsi="Arial Narrow"/>
          <w:b/>
          <w:smallCaps/>
          <w:sz w:val="20"/>
          <w:szCs w:val="20"/>
          <w:lang w:eastAsia="en-US"/>
        </w:rPr>
      </w:r>
      <w:r w:rsidRPr="00AF1011">
        <w:rPr>
          <w:rFonts w:ascii="Arial Narrow" w:hAnsi="Arial Narrow"/>
          <w:b/>
          <w:smallCaps/>
          <w:sz w:val="20"/>
          <w:szCs w:val="20"/>
          <w:lang w:eastAsia="en-US"/>
        </w:rPr>
        <w:fldChar w:fldCharType="separate"/>
      </w:r>
      <w:r w:rsidRPr="00AF1011">
        <w:rPr>
          <w:rFonts w:ascii="Arial Narrow" w:hAnsi="Arial Narrow"/>
          <w:b/>
          <w:smallCaps/>
          <w:noProof/>
          <w:sz w:val="20"/>
          <w:szCs w:val="20"/>
          <w:lang w:eastAsia="en-US"/>
        </w:rPr>
        <w:t> </w:t>
      </w:r>
      <w:r w:rsidRPr="00AF1011">
        <w:rPr>
          <w:rFonts w:ascii="Arial Narrow" w:hAnsi="Arial Narrow"/>
          <w:b/>
          <w:smallCaps/>
          <w:noProof/>
          <w:sz w:val="20"/>
          <w:szCs w:val="20"/>
          <w:lang w:eastAsia="en-US"/>
        </w:rPr>
        <w:t> </w:t>
      </w:r>
      <w:r w:rsidRPr="00AF1011">
        <w:rPr>
          <w:rFonts w:ascii="Arial Narrow" w:hAnsi="Arial Narrow"/>
          <w:b/>
          <w:smallCaps/>
          <w:noProof/>
          <w:sz w:val="20"/>
          <w:szCs w:val="20"/>
          <w:lang w:eastAsia="en-US"/>
        </w:rPr>
        <w:t> </w:t>
      </w:r>
      <w:r w:rsidRPr="00AF1011">
        <w:rPr>
          <w:rFonts w:ascii="Arial Narrow" w:hAnsi="Arial Narrow"/>
          <w:b/>
          <w:smallCaps/>
          <w:noProof/>
          <w:sz w:val="20"/>
          <w:szCs w:val="20"/>
          <w:lang w:eastAsia="en-US"/>
        </w:rPr>
        <w:t> </w:t>
      </w:r>
      <w:r w:rsidRPr="00AF1011">
        <w:rPr>
          <w:rFonts w:ascii="Arial Narrow" w:hAnsi="Arial Narrow"/>
          <w:b/>
          <w:smallCaps/>
          <w:noProof/>
          <w:sz w:val="20"/>
          <w:szCs w:val="20"/>
          <w:lang w:eastAsia="en-US"/>
        </w:rPr>
        <w:t> </w:t>
      </w:r>
      <w:r w:rsidRPr="00AF1011">
        <w:rPr>
          <w:rFonts w:ascii="Arial Narrow" w:hAnsi="Arial Narrow"/>
          <w:b/>
          <w:smallCaps/>
          <w:sz w:val="20"/>
          <w:szCs w:val="20"/>
          <w:lang w:eastAsia="en-US"/>
        </w:rPr>
        <w:fldChar w:fldCharType="end"/>
      </w:r>
      <w:r w:rsidRPr="00AF1011">
        <w:rPr>
          <w:rFonts w:ascii="Arial Narrow" w:hAnsi="Arial Narrow"/>
          <w:b/>
          <w:sz w:val="20"/>
          <w:szCs w:val="20"/>
          <w:lang w:eastAsia="en-US"/>
        </w:rPr>
        <w:tab/>
      </w:r>
    </w:p>
    <w:p w14:paraId="11468D29" w14:textId="77777777" w:rsidR="00283A41" w:rsidRPr="00AF1011" w:rsidRDefault="00283A41" w:rsidP="00283A41">
      <w:pPr>
        <w:jc w:val="center"/>
        <w:rPr>
          <w:rFonts w:ascii="Arial Narrow" w:hAnsi="Arial Narrow"/>
          <w:b/>
          <w:sz w:val="20"/>
          <w:szCs w:val="20"/>
          <w:lang w:eastAsia="en-US"/>
        </w:rPr>
      </w:pPr>
      <w:r w:rsidRPr="00AF1011">
        <w:rPr>
          <w:noProof/>
          <w:sz w:val="20"/>
          <w:szCs w:val="20"/>
          <w:lang w:eastAsia="en-US"/>
        </w:rPr>
        <mc:AlternateContent>
          <mc:Choice Requires="wps">
            <w:drawing>
              <wp:anchor distT="4294967294" distB="4294967294" distL="114300" distR="114300" simplePos="0" relativeHeight="251660288" behindDoc="0" locked="0" layoutInCell="1" allowOverlap="1" wp14:anchorId="70D56D0E" wp14:editId="46C5AEEB">
                <wp:simplePos x="0" y="0"/>
                <wp:positionH relativeFrom="column">
                  <wp:posOffset>3776980</wp:posOffset>
                </wp:positionH>
                <wp:positionV relativeFrom="paragraph">
                  <wp:posOffset>110489</wp:posOffset>
                </wp:positionV>
                <wp:extent cx="2047875" cy="0"/>
                <wp:effectExtent l="0" t="0" r="0" b="0"/>
                <wp:wrapNone/>
                <wp:docPr id="7" name="Ravni povez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4F1C63" id="Ravni poveznik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97.4pt,8.7pt" to="458.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" strokecolor="windowText" strokeweight="1pt">
                <o:lock v:ext="edit" shapetype="f"/>
              </v:line>
            </w:pict>
          </mc:Fallback>
        </mc:AlternateContent>
      </w:r>
      <w:r w:rsidRPr="00AF1011">
        <w:rPr>
          <w:noProof/>
          <w:sz w:val="20"/>
          <w:szCs w:val="20"/>
          <w:lang w:eastAsia="en-US"/>
        </w:rPr>
        <mc:AlternateContent>
          <mc:Choice Requires="wps">
            <w:drawing>
              <wp:anchor distT="4294967294" distB="4294967294" distL="114300" distR="114300" simplePos="0" relativeHeight="251659264" behindDoc="0" locked="0" layoutInCell="1" allowOverlap="1" wp14:anchorId="28D43887" wp14:editId="70894DA2">
                <wp:simplePos x="0" y="0"/>
                <wp:positionH relativeFrom="column">
                  <wp:posOffset>-23495</wp:posOffset>
                </wp:positionH>
                <wp:positionV relativeFrom="paragraph">
                  <wp:posOffset>110489</wp:posOffset>
                </wp:positionV>
                <wp:extent cx="2133600" cy="0"/>
                <wp:effectExtent l="0" t="0" r="0" b="0"/>
                <wp:wrapNone/>
                <wp:docPr id="6" name="Ravni povez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9D61B9" id="Ravni poveznik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5pt,8.7pt" to="16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" strokecolor="windowText" strokeweight="1pt">
                <o:lock v:ext="edit" shapetype="f"/>
              </v:line>
            </w:pict>
          </mc:Fallback>
        </mc:AlternateContent>
      </w:r>
    </w:p>
    <w:p w14:paraId="5AA21304" w14:textId="77777777" w:rsidR="00283A41" w:rsidRPr="00AF1011" w:rsidRDefault="00283A41" w:rsidP="00283A41">
      <w:pPr>
        <w:rPr>
          <w:rFonts w:ascii="Arial Narrow" w:hAnsi="Arial Narrow"/>
          <w:b/>
          <w:sz w:val="20"/>
          <w:szCs w:val="20"/>
          <w:lang w:eastAsia="en-US"/>
        </w:rPr>
      </w:pPr>
      <w:r w:rsidRPr="00AF1011">
        <w:rPr>
          <w:rFonts w:ascii="Arial Narrow" w:hAnsi="Arial Narrow"/>
          <w:b/>
          <w:sz w:val="20"/>
          <w:szCs w:val="20"/>
          <w:lang w:eastAsia="en-US"/>
        </w:rPr>
        <w:t xml:space="preserve">                   Mjesto i datum                                                                                                        Vlastoručni  potpis </w:t>
      </w:r>
    </w:p>
    <w:p w14:paraId="027DFD12" w14:textId="77777777" w:rsidR="00C518BE" w:rsidRDefault="00C518BE" w:rsidP="00AF1011">
      <w:pPr>
        <w:widowControl w:val="0"/>
        <w:rPr>
          <w:rFonts w:ascii="Arial Narrow" w:hAnsi="Arial Narrow"/>
          <w:sz w:val="16"/>
          <w:szCs w:val="16"/>
          <w:lang w:eastAsia="en-US"/>
        </w:rPr>
      </w:pPr>
    </w:p>
    <w:p w14:paraId="069C8D45" w14:textId="59829AEB" w:rsidR="00AF1011" w:rsidRPr="00AF1011" w:rsidRDefault="00AF1011" w:rsidP="00AF1011">
      <w:pPr>
        <w:widowControl w:val="0"/>
        <w:rPr>
          <w:sz w:val="20"/>
          <w:szCs w:val="20"/>
          <w:lang w:val="en-US" w:eastAsia="en-US"/>
        </w:rPr>
      </w:pPr>
      <w:bookmarkStart w:id="4" w:name="_GoBack"/>
      <w:bookmarkEnd w:id="4"/>
      <w:r w:rsidRPr="00AF1011">
        <w:rPr>
          <w:sz w:val="20"/>
          <w:szCs w:val="20"/>
          <w:lang w:val="en-US" w:eastAsia="en-US"/>
        </w:rPr>
        <w:lastRenderedPageBreak/>
        <w:t xml:space="preserve">PRILOZI: 1. _______________________________ </w:t>
      </w:r>
      <w:r w:rsidRPr="00AF1011">
        <w:rPr>
          <w:sz w:val="20"/>
          <w:szCs w:val="20"/>
          <w:lang w:val="en-US" w:eastAsia="en-US"/>
        </w:rPr>
        <w:tab/>
      </w:r>
      <w:r w:rsidRPr="00AF1011">
        <w:rPr>
          <w:sz w:val="20"/>
          <w:szCs w:val="20"/>
          <w:lang w:val="en-US" w:eastAsia="en-US"/>
        </w:rPr>
        <w:tab/>
        <w:t>4. ______________________________________</w:t>
      </w:r>
    </w:p>
    <w:p w14:paraId="3EE44F28" w14:textId="77777777" w:rsidR="00AF1011" w:rsidRPr="00AF1011" w:rsidRDefault="00AF1011" w:rsidP="00AF1011">
      <w:pPr>
        <w:widowControl w:val="0"/>
        <w:rPr>
          <w:sz w:val="20"/>
          <w:szCs w:val="20"/>
          <w:lang w:val="en-US" w:eastAsia="en-US"/>
        </w:rPr>
      </w:pPr>
    </w:p>
    <w:p w14:paraId="57BD891F" w14:textId="77777777" w:rsidR="00AF1011" w:rsidRPr="00AF1011" w:rsidRDefault="00AF1011" w:rsidP="00AF1011">
      <w:pPr>
        <w:widowControl w:val="0"/>
        <w:rPr>
          <w:sz w:val="20"/>
          <w:szCs w:val="20"/>
          <w:lang w:val="en-US" w:eastAsia="en-US"/>
        </w:rPr>
      </w:pPr>
      <w:r w:rsidRPr="00AF1011">
        <w:rPr>
          <w:sz w:val="20"/>
          <w:szCs w:val="20"/>
          <w:lang w:val="en-US" w:eastAsia="en-US"/>
        </w:rPr>
        <w:t xml:space="preserve">                 2. _______________________________ </w:t>
      </w:r>
      <w:r w:rsidRPr="00AF1011">
        <w:rPr>
          <w:sz w:val="20"/>
          <w:szCs w:val="20"/>
          <w:lang w:val="en-US" w:eastAsia="en-US"/>
        </w:rPr>
        <w:tab/>
      </w:r>
      <w:r w:rsidRPr="00AF1011">
        <w:rPr>
          <w:sz w:val="20"/>
          <w:szCs w:val="20"/>
          <w:lang w:val="en-US" w:eastAsia="en-US"/>
        </w:rPr>
        <w:tab/>
        <w:t>5. ______________________________________</w:t>
      </w:r>
    </w:p>
    <w:p w14:paraId="1D425111" w14:textId="77777777" w:rsidR="00AF1011" w:rsidRPr="00AF1011" w:rsidRDefault="00AF1011" w:rsidP="00AF1011">
      <w:pPr>
        <w:widowControl w:val="0"/>
        <w:rPr>
          <w:sz w:val="20"/>
          <w:szCs w:val="20"/>
          <w:lang w:val="en-US" w:eastAsia="en-US"/>
        </w:rPr>
      </w:pPr>
    </w:p>
    <w:p w14:paraId="142CB4BF" w14:textId="2AD48984" w:rsidR="00AF1011" w:rsidRPr="00AF1011" w:rsidRDefault="00AF1011" w:rsidP="00AF1011">
      <w:pPr>
        <w:widowControl w:val="0"/>
        <w:rPr>
          <w:sz w:val="20"/>
          <w:szCs w:val="20"/>
          <w:lang w:val="en-US" w:eastAsia="en-US"/>
        </w:rPr>
      </w:pPr>
      <w:r w:rsidRPr="00AF1011">
        <w:rPr>
          <w:sz w:val="20"/>
          <w:szCs w:val="20"/>
          <w:lang w:val="en-US" w:eastAsia="en-US"/>
        </w:rPr>
        <w:t xml:space="preserve">                 3. ________________________________ </w:t>
      </w:r>
      <w:r w:rsidRPr="00AF1011">
        <w:rPr>
          <w:sz w:val="20"/>
          <w:szCs w:val="20"/>
          <w:lang w:val="en-US" w:eastAsia="en-US"/>
        </w:rPr>
        <w:tab/>
        <w:t>6. ______________________________________</w:t>
      </w:r>
    </w:p>
    <w:p w14:paraId="121EC660" w14:textId="77777777" w:rsidR="00AF1011" w:rsidRPr="00AF1011" w:rsidRDefault="00AF1011" w:rsidP="00AF1011">
      <w:pPr>
        <w:rPr>
          <w:sz w:val="20"/>
          <w:szCs w:val="20"/>
          <w:lang w:val="en-US" w:eastAsia="en-US"/>
        </w:rPr>
      </w:pPr>
    </w:p>
    <w:p w14:paraId="0804938C" w14:textId="77777777" w:rsidR="00AF1011" w:rsidRPr="00AF1011" w:rsidRDefault="00AF1011" w:rsidP="00AF1011">
      <w:pPr>
        <w:jc w:val="both"/>
        <w:rPr>
          <w:rFonts w:ascii="Arial Narrow" w:hAnsi="Arial Narrow"/>
          <w:sz w:val="16"/>
          <w:szCs w:val="16"/>
          <w:lang w:eastAsia="en-US"/>
        </w:rPr>
      </w:pPr>
    </w:p>
    <w:p w14:paraId="329D0766" w14:textId="77777777" w:rsidR="00AF1011" w:rsidRPr="00AF1011" w:rsidRDefault="00AF1011" w:rsidP="00AF1011">
      <w:pPr>
        <w:jc w:val="both"/>
        <w:rPr>
          <w:rFonts w:ascii="Arial Narrow" w:hAnsi="Arial Narrow"/>
          <w:sz w:val="16"/>
          <w:szCs w:val="16"/>
          <w:lang w:eastAsia="en-US"/>
        </w:rPr>
      </w:pPr>
    </w:p>
    <w:p w14:paraId="4D31ADF8" w14:textId="77777777" w:rsidR="00AF1011" w:rsidRPr="00AF1011" w:rsidRDefault="00AF1011" w:rsidP="00AF1011">
      <w:pPr>
        <w:jc w:val="both"/>
        <w:rPr>
          <w:rFonts w:ascii="Arial Narrow" w:hAnsi="Arial Narrow"/>
          <w:sz w:val="16"/>
          <w:szCs w:val="16"/>
          <w:lang w:eastAsia="en-US"/>
        </w:rPr>
      </w:pPr>
      <w:r w:rsidRPr="00AF1011">
        <w:rPr>
          <w:rFonts w:ascii="Arial Narrow" w:hAnsi="Arial Narrow"/>
          <w:sz w:val="16"/>
          <w:szCs w:val="16"/>
          <w:lang w:eastAsia="en-US"/>
        </w:rPr>
        <w:t>Politika zaštite privatnosti uređuje način postupanja s informacijama koje Ministarstvo obrađuje odnosno prikuplja prilikom provedbe postupka prijma u državnu službu. Napominjemo kako se obrada prikupljenih osobnih podataka temelji na zakonitoj osnovi obrade u skladu s Općom uredbom o zaštiti podataka.  Moguće je da Vaše osobne podatke učinimo dostupnima i drugim sudionicima u postupku zapošljavanja (tijela državne uprave, doktor medicine rada, HZZ i dr.), a sve s ciljem ispunjenja svrhe za koju su navedeni osobni podaci prikupljeni. Svojim potpisom dajete nam suglasnost za korištenje Vaših osobnih podataka u gore navedene svrhe</w:t>
      </w:r>
    </w:p>
    <w:p w14:paraId="05EBDBBD" w14:textId="77777777" w:rsidR="00AF1011" w:rsidRPr="00AF1011" w:rsidRDefault="00AF1011" w:rsidP="00AF1011">
      <w:pPr>
        <w:jc w:val="both"/>
        <w:rPr>
          <w:rFonts w:ascii="Arial Narrow" w:hAnsi="Arial Narrow"/>
          <w:sz w:val="16"/>
          <w:szCs w:val="16"/>
          <w:lang w:eastAsia="en-US"/>
        </w:rPr>
      </w:pPr>
    </w:p>
    <w:p w14:paraId="44599091" w14:textId="77777777" w:rsidR="00AF1011" w:rsidRPr="00AF1011" w:rsidRDefault="00AF1011" w:rsidP="00AF1011">
      <w:pPr>
        <w:jc w:val="both"/>
        <w:rPr>
          <w:rFonts w:ascii="Arial Narrow" w:hAnsi="Arial Narrow"/>
          <w:sz w:val="16"/>
          <w:szCs w:val="16"/>
          <w:lang w:eastAsia="en-US"/>
        </w:rPr>
      </w:pPr>
    </w:p>
    <w:p w14:paraId="3B0BD947" w14:textId="77777777" w:rsidR="00AF1011" w:rsidRPr="00AF1011" w:rsidRDefault="00AF1011" w:rsidP="00AF1011">
      <w:pPr>
        <w:widowControl w:val="0"/>
        <w:rPr>
          <w:rFonts w:ascii="Arial Narrow" w:hAnsi="Arial Narrow"/>
          <w:b/>
          <w:sz w:val="22"/>
          <w:szCs w:val="20"/>
          <w:lang w:eastAsia="en-US"/>
        </w:rPr>
      </w:pPr>
      <w:r w:rsidRPr="00AF1011">
        <w:rPr>
          <w:rFonts w:ascii="Arial Narrow" w:hAnsi="Arial Narrow"/>
          <w:b/>
          <w:sz w:val="22"/>
          <w:szCs w:val="20"/>
          <w:lang w:eastAsia="en-US"/>
        </w:rPr>
        <w:t xml:space="preserve">NAPOMENA: </w:t>
      </w:r>
    </w:p>
    <w:p w14:paraId="509B4106" w14:textId="77777777" w:rsidR="00AF1011" w:rsidRPr="00AF1011" w:rsidRDefault="00AF1011" w:rsidP="00AF1011">
      <w:pPr>
        <w:widowControl w:val="0"/>
        <w:rPr>
          <w:rFonts w:ascii="Arial Narrow" w:hAnsi="Arial Narrow"/>
          <w:b/>
          <w:sz w:val="22"/>
          <w:szCs w:val="20"/>
          <w:lang w:eastAsia="en-US"/>
        </w:rPr>
      </w:pPr>
      <w:r w:rsidRPr="00AF1011">
        <w:rPr>
          <w:rFonts w:ascii="Arial Narrow" w:hAnsi="Arial Narrow"/>
          <w:b/>
          <w:sz w:val="22"/>
          <w:szCs w:val="20"/>
          <w:lang w:eastAsia="en-US"/>
        </w:rPr>
        <w:t>Prijavnom obrascu je potrebno priložiti svu traženu dokumentaciju navedenu u Javnom natječaju</w:t>
      </w:r>
    </w:p>
    <w:p w14:paraId="5E4A7AFD" w14:textId="77777777" w:rsidR="0097574F" w:rsidRDefault="0097574F"/>
    <w:sectPr w:rsidR="0097574F">
      <w:footerReference w:type="default" r:id="rId6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B15A" w14:textId="77777777" w:rsidR="00C675F2" w:rsidRDefault="00C675F2">
      <w:r>
        <w:separator/>
      </w:r>
    </w:p>
  </w:endnote>
  <w:endnote w:type="continuationSeparator" w:id="0">
    <w:p w14:paraId="6BC37693" w14:textId="77777777" w:rsidR="00C675F2" w:rsidRDefault="00C6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taSerifPro-Book">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0CB4" w14:textId="77777777" w:rsidR="0097574F" w:rsidRDefault="0008027B">
    <w:pPr>
      <w:pStyle w:val="Podnoje"/>
      <w:rPr>
        <w:lang w:val="hr-HR"/>
      </w:rPr>
    </w:pPr>
    <w:r>
      <w:rPr>
        <w:noProof/>
      </w:rPr>
      <w:drawing>
        <wp:inline distT="0" distB="0" distL="0" distR="0" wp14:anchorId="73AE3F4F" wp14:editId="7EBFAC09">
          <wp:extent cx="2110740" cy="285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14:paraId="7E9A34FF" w14:textId="77777777" w:rsidR="0097574F" w:rsidRDefault="0008027B">
    <w:pPr>
      <w:pStyle w:val="Podnoje"/>
    </w:pPr>
    <w:r>
      <w:rPr>
        <w:lang w:val="hr-HR"/>
      </w:rPr>
      <w:t>2RjJ2hlP6UOgiiAJEz2KmQ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3B785" w14:textId="77777777" w:rsidR="00C675F2" w:rsidRDefault="00C675F2">
      <w:r>
        <w:separator/>
      </w:r>
    </w:p>
  </w:footnote>
  <w:footnote w:type="continuationSeparator" w:id="0">
    <w:p w14:paraId="35E4E0A0" w14:textId="77777777" w:rsidR="00C675F2" w:rsidRDefault="00C6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261"/>
    <w:multiLevelType w:val="hybridMultilevel"/>
    <w:tmpl w:val="8D706E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D1A00"/>
    <w:multiLevelType w:val="hybridMultilevel"/>
    <w:tmpl w:val="2D2A2680"/>
    <w:lvl w:ilvl="0" w:tplc="7388B308">
      <w:start w:val="1"/>
      <w:numFmt w:val="decimal"/>
      <w:lvlText w:val="%1."/>
      <w:lvlJc w:val="left"/>
      <w:pPr>
        <w:ind w:left="720" w:hanging="360"/>
      </w:pPr>
    </w:lvl>
    <w:lvl w:ilvl="1" w:tplc="C3925C96">
      <w:start w:val="1"/>
      <w:numFmt w:val="lowerLetter"/>
      <w:lvlText w:val="%2."/>
      <w:lvlJc w:val="left"/>
      <w:pPr>
        <w:ind w:left="1440" w:hanging="360"/>
      </w:pPr>
    </w:lvl>
    <w:lvl w:ilvl="2" w:tplc="56B26694">
      <w:start w:val="1"/>
      <w:numFmt w:val="lowerRoman"/>
      <w:lvlText w:val="%3."/>
      <w:lvlJc w:val="right"/>
      <w:pPr>
        <w:ind w:left="2160" w:hanging="180"/>
      </w:pPr>
    </w:lvl>
    <w:lvl w:ilvl="3" w:tplc="93A2390A">
      <w:start w:val="1"/>
      <w:numFmt w:val="decimal"/>
      <w:lvlText w:val="%4."/>
      <w:lvlJc w:val="left"/>
      <w:pPr>
        <w:ind w:left="2880" w:hanging="360"/>
      </w:pPr>
    </w:lvl>
    <w:lvl w:ilvl="4" w:tplc="8370CEB8">
      <w:start w:val="1"/>
      <w:numFmt w:val="lowerLetter"/>
      <w:lvlText w:val="%5."/>
      <w:lvlJc w:val="left"/>
      <w:pPr>
        <w:ind w:left="3600" w:hanging="360"/>
      </w:pPr>
    </w:lvl>
    <w:lvl w:ilvl="5" w:tplc="E0EAF7BA">
      <w:start w:val="1"/>
      <w:numFmt w:val="lowerRoman"/>
      <w:lvlText w:val="%6."/>
      <w:lvlJc w:val="right"/>
      <w:pPr>
        <w:ind w:left="4320" w:hanging="180"/>
      </w:pPr>
    </w:lvl>
    <w:lvl w:ilvl="6" w:tplc="39C2338C">
      <w:start w:val="1"/>
      <w:numFmt w:val="decimal"/>
      <w:lvlText w:val="%7."/>
      <w:lvlJc w:val="left"/>
      <w:pPr>
        <w:ind w:left="5040" w:hanging="360"/>
      </w:pPr>
    </w:lvl>
    <w:lvl w:ilvl="7" w:tplc="E1146660">
      <w:start w:val="1"/>
      <w:numFmt w:val="lowerLetter"/>
      <w:lvlText w:val="%8."/>
      <w:lvlJc w:val="left"/>
      <w:pPr>
        <w:ind w:left="5760" w:hanging="360"/>
      </w:pPr>
    </w:lvl>
    <w:lvl w:ilvl="8" w:tplc="DDCEE9F4">
      <w:start w:val="1"/>
      <w:numFmt w:val="lowerRoman"/>
      <w:lvlText w:val="%9."/>
      <w:lvlJc w:val="right"/>
      <w:pPr>
        <w:ind w:left="6480" w:hanging="180"/>
      </w:pPr>
    </w:lvl>
  </w:abstractNum>
  <w:abstractNum w:abstractNumId="2" w15:restartNumberingAfterBreak="0">
    <w:nsid w:val="3D4A04E9"/>
    <w:multiLevelType w:val="multilevel"/>
    <w:tmpl w:val="201A0C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41E53504"/>
    <w:multiLevelType w:val="multilevel"/>
    <w:tmpl w:val="512A19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444F5EEA"/>
    <w:multiLevelType w:val="multilevel"/>
    <w:tmpl w:val="F56828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578B2DC0"/>
    <w:multiLevelType w:val="hybridMultilevel"/>
    <w:tmpl w:val="7DC8F050"/>
    <w:lvl w:ilvl="0" w:tplc="DFCC331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11E59B1"/>
    <w:multiLevelType w:val="multilevel"/>
    <w:tmpl w:val="468248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7B5A0DD3"/>
    <w:multiLevelType w:val="multilevel"/>
    <w:tmpl w:val="EE88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4"/>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4F"/>
    <w:rsid w:val="000168D3"/>
    <w:rsid w:val="00041D67"/>
    <w:rsid w:val="0008027B"/>
    <w:rsid w:val="0011667F"/>
    <w:rsid w:val="00283A41"/>
    <w:rsid w:val="00300C27"/>
    <w:rsid w:val="00384D0C"/>
    <w:rsid w:val="00427449"/>
    <w:rsid w:val="005622C6"/>
    <w:rsid w:val="00682338"/>
    <w:rsid w:val="008C1B97"/>
    <w:rsid w:val="00943135"/>
    <w:rsid w:val="0097574F"/>
    <w:rsid w:val="009E68AD"/>
    <w:rsid w:val="00AD2CAD"/>
    <w:rsid w:val="00AF1011"/>
    <w:rsid w:val="00C518BE"/>
    <w:rsid w:val="00C675F2"/>
    <w:rsid w:val="00D95F65"/>
    <w:rsid w:val="00E44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94849"/>
  <w15:chartTrackingRefBased/>
  <w15:docId w15:val="{B3E0EDA3-794A-4906-AF8E-BC4B850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pPr>
      <w:tabs>
        <w:tab w:val="center" w:pos="4536"/>
        <w:tab w:val="right" w:pos="9072"/>
      </w:tabs>
    </w:pPr>
    <w:rPr>
      <w:lang w:val="en-US" w:eastAsia="en-US"/>
    </w:rPr>
  </w:style>
  <w:style w:type="character" w:customStyle="1" w:styleId="ZaglavljeChar">
    <w:name w:val="Zaglavlje Char"/>
    <w:link w:val="Zaglavlje"/>
    <w:rPr>
      <w:rFonts w:cs="Times New Roman"/>
      <w:sz w:val="24"/>
    </w:rPr>
  </w:style>
  <w:style w:type="paragraph" w:styleId="Podnoje">
    <w:name w:val="footer"/>
    <w:basedOn w:val="Normal"/>
    <w:pPr>
      <w:tabs>
        <w:tab w:val="center" w:pos="4536"/>
        <w:tab w:val="right" w:pos="9072"/>
      </w:tabs>
    </w:pPr>
    <w:rPr>
      <w:lang w:val="en-US" w:eastAsia="en-US"/>
    </w:rPr>
  </w:style>
  <w:style w:type="character" w:customStyle="1" w:styleId="PodnojeChar">
    <w:name w:val="Podnožje Char"/>
    <w:rPr>
      <w:rFonts w:cs="Times New Roman"/>
      <w:sz w:val="24"/>
    </w:rPr>
  </w:style>
  <w:style w:type="character" w:styleId="Referencakomentara">
    <w:name w:val="annotation reference"/>
    <w:semiHidden/>
    <w:rPr>
      <w:rFonts w:cs="Times New Roman"/>
      <w:sz w:val="16"/>
    </w:rPr>
  </w:style>
  <w:style w:type="paragraph" w:styleId="Tekstkomentara">
    <w:name w:val="annotation text"/>
    <w:basedOn w:val="Normal"/>
    <w:link w:val="TekstkomentaraChar"/>
    <w:semiHidden/>
    <w:rPr>
      <w:sz w:val="20"/>
      <w:szCs w:val="20"/>
    </w:rPr>
  </w:style>
  <w:style w:type="character" w:customStyle="1" w:styleId="TekstkomentaraChar">
    <w:name w:val="Tekst komentara Char"/>
    <w:link w:val="Tekstkomentara"/>
    <w:semiHidden/>
    <w:rPr>
      <w:rFonts w:cs="Times New Roman"/>
      <w:sz w:val="20"/>
      <w:szCs w:val="20"/>
      <w:lang w:val="hr-HR" w:eastAsia="hr-HR"/>
    </w:rPr>
  </w:style>
  <w:style w:type="paragraph" w:styleId="Predmetkomentara">
    <w:name w:val="annotation subject"/>
    <w:basedOn w:val="Tekstkomentara"/>
    <w:link w:val="PredmetkomentaraChar"/>
    <w:semiHidden/>
    <w:rPr>
      <w:b/>
      <w:bCs/>
    </w:rPr>
  </w:style>
  <w:style w:type="character" w:customStyle="1" w:styleId="PredmetkomentaraChar">
    <w:name w:val="Predmet komentara Char"/>
    <w:link w:val="Predmetkomentara"/>
    <w:semiHidden/>
    <w:rPr>
      <w:rFonts w:cs="Times New Roman"/>
      <w:b/>
      <w:bCs/>
      <w:sz w:val="20"/>
      <w:szCs w:val="20"/>
      <w:lang w:val="hr-HR" w:eastAsia="hr-HR"/>
    </w:rPr>
  </w:style>
  <w:style w:type="paragraph" w:styleId="Tekstbalonia">
    <w:name w:val="Balloon Text"/>
    <w:basedOn w:val="Normal"/>
    <w:semiHidden/>
    <w:rPr>
      <w:rFonts w:ascii="Tahoma" w:hAnsi="Tahoma" w:cs="Tahoma"/>
      <w:sz w:val="16"/>
      <w:szCs w:val="16"/>
    </w:rPr>
  </w:style>
  <w:style w:type="character" w:customStyle="1" w:styleId="TekstbaloniaChar">
    <w:name w:val="Tekst balončića Char"/>
    <w:semiHidden/>
    <w:rPr>
      <w:rFonts w:cs="Times New Roman"/>
      <w:sz w:val="2"/>
      <w:lang w:val="hr-HR" w:eastAsia="hr-HR"/>
    </w:rPr>
  </w:style>
  <w:style w:type="paragraph" w:styleId="Odlomakpopisa">
    <w:name w:val="List Paragraph"/>
    <w:basedOn w:val="Normal"/>
    <w:uiPriority w:val="34"/>
    <w:qFormat/>
    <w:rsid w:val="0011667F"/>
    <w:pPr>
      <w:spacing w:after="160" w:line="259" w:lineRule="auto"/>
      <w:ind w:left="720"/>
      <w:contextualSpacing/>
    </w:pPr>
    <w:rPr>
      <w:rFonts w:asciiTheme="minorHAnsi" w:eastAsiaTheme="minorHAnsi" w:hAnsiTheme="minorHAnsi" w:cstheme="minorBidi"/>
      <w:sz w:val="22"/>
      <w:szCs w:val="22"/>
      <w:lang w:eastAsia="en-US"/>
    </w:rPr>
  </w:style>
  <w:style w:type="paragraph" w:styleId="Bezproreda">
    <w:name w:val="No Spacing"/>
    <w:uiPriority w:val="1"/>
    <w:qFormat/>
    <w:rsid w:val="0011667F"/>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 w:id="346296835">
      <w:bodyDiv w:val="1"/>
      <w:marLeft w:val="0"/>
      <w:marRight w:val="0"/>
      <w:marTop w:val="0"/>
      <w:marBottom w:val="0"/>
      <w:divBdr>
        <w:top w:val="none" w:sz="0" w:space="0" w:color="auto"/>
        <w:left w:val="none" w:sz="0" w:space="0" w:color="auto"/>
        <w:bottom w:val="none" w:sz="0" w:space="0" w:color="auto"/>
        <w:right w:val="none" w:sz="0" w:space="0" w:color="auto"/>
      </w:divBdr>
    </w:div>
    <w:div w:id="9544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info.hr/zakonodavstvo/uredba-o-izmjenama-i-dopunama-uredbe-o-nazivima-radnih-mjesta-i-koeficijentima-slozenosti-poslova-u-drzavnoj-sluzbi" TargetMode="External"/><Relationship Id="rId18" Type="http://schemas.openxmlformats.org/officeDocument/2006/relationships/hyperlink" Target="https://www.iusinfo.hr/zakonodavstvo/ispravak-uredbe-o-izmjenama-i-dopunama-uredbe-o-nazivima-radnih-mjesta-i-koeficijentima-slozenosti-poslova-u-drzavnoj-sluzbi-1" TargetMode="External"/><Relationship Id="rId26" Type="http://schemas.openxmlformats.org/officeDocument/2006/relationships/hyperlink" Target="https://www.iusinfo.hr/zakonodavstvo/uredba-o-izmjeni-uredbe-o-nazivima-radnih-mjesta-i-koeficijentima-slozenosti-poslova-u-drzavnoj-sluzbi-1" TargetMode="External"/><Relationship Id="rId39" Type="http://schemas.openxmlformats.org/officeDocument/2006/relationships/hyperlink" Target="https://www.iusinfo.hr/zakonodavstvo/uredba-o-vrijednosti-koeficijenata-slozenosti-poslova-radnih-mjesta-dodatku-na-uvjete-rada-te-kriterijima-i-najvisem-mogucem-iznosu-dodatka-za-natprosjecne-rezultate-u-radu-za-sluzbenike-carinske-uprave" TargetMode="External"/><Relationship Id="rId21" Type="http://schemas.openxmlformats.org/officeDocument/2006/relationships/hyperlink" Target="https://www.iusinfo.hr/zakonodavstvo/uredba-o-izmjenama-i-dopunama-uredbe-o-nazivima-radnih-mjesta-i-koeficijentima-slozenosti-poslova-u-drzavnoj-sluzbi-4" TargetMode="External"/><Relationship Id="rId34" Type="http://schemas.openxmlformats.org/officeDocument/2006/relationships/hyperlink" Target="https://www.iusinfo.hr/zakonodavstvo/uredba-o-dopunama-uredbe-o-nazivima-radnih-mjesta-i-koeficijentima-slozenosti-poslova-u-drzavnoj-sluzbi-2" TargetMode="External"/><Relationship Id="rId42" Type="http://schemas.openxmlformats.org/officeDocument/2006/relationships/hyperlink" Target="https://www.iusinfo.hr/zakonodavstvo/uredba-o-izmjenama-i-dopunama-uredbe-o-nazivima-radnih-mjesta-i-koeficijentima-slozenosti-poslova-u-drzavnoj-sluzbi-9" TargetMode="External"/><Relationship Id="rId47" Type="http://schemas.openxmlformats.org/officeDocument/2006/relationships/hyperlink" Target="https://www.iusinfo.hr/zakonodavstvo/uredba-o-izmjeni-uredbe-o-nazivima-radnih-mjesta-i-koeficijentima-slozenosti-poslova-u-drzavnoj-sluzbi-4" TargetMode="External"/><Relationship Id="rId50" Type="http://schemas.openxmlformats.org/officeDocument/2006/relationships/hyperlink" Target="https://www.iusinfo.hr/zakonodavstvo/uredba-o-izmjenama-i-dopunama-uredbe-o-nazivima-radnih-mjesta-i-koeficijentima-slozenosti-poslova-u-drzavnoj-sluzbi-14" TargetMode="External"/><Relationship Id="rId55" Type="http://schemas.openxmlformats.org/officeDocument/2006/relationships/hyperlink" Target="https://www.iusinfo.hr/zakonodavstvo/uredba-o-izmjeni-uredbe-o-nazivima-radnih-mjesta-i-koeficijentima-slozenosti-poslova-u-drzavnoj-sluzbi-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usinfo.hr/zakonodavstvo/uredba-o-izmjeni-i-dopuni-uredbe-o-nazivima-radnih-mjesta-i-koeficijentima-slozenosti-poslova-u-drzavnoj-sluzbi" TargetMode="External"/><Relationship Id="rId20" Type="http://schemas.openxmlformats.org/officeDocument/2006/relationships/hyperlink" Target="https://www.iusinfo.hr/zakonodavstvo/zakon-o-drzavnim-sluzbenicima-1" TargetMode="External"/><Relationship Id="rId29" Type="http://schemas.openxmlformats.org/officeDocument/2006/relationships/hyperlink" Target="https://www.iusinfo.hr/zakonodavstvo/uredba-o-izmjeni-i-dopuni-uredbe-o-nazivima-radnih-mjesta-i-koeficijentima-slozenosti-poslova-u-drzavnoj-sluzbi-2" TargetMode="External"/><Relationship Id="rId41" Type="http://schemas.openxmlformats.org/officeDocument/2006/relationships/hyperlink" Target="https://www.iusinfo.hr/zakonodavstvo/uredba-o-izmjeni-uredbe-o-nazivima-radnih-mjesta-i-koeficijentima-slozenosti-poslova-u-drzavnoj-sluzbi-3" TargetMode="External"/><Relationship Id="rId54" Type="http://schemas.openxmlformats.org/officeDocument/2006/relationships/hyperlink" Target="https://www.iusinfo.hr/zakonodavstvo/uredba-o-dopunama-uredbe-o-nazivima-radnih-mjesta-i-koeficijentima-slozenosti-poslova-u-drzavnoj-sluzbi-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hr/zakonodavstvo/uredba-o-dopuni-uredbe-o-nazivima-radnih-mjesta-i-koeficijentima-slozenosti-poslova-u-drzavnoj-sluzbi" TargetMode="External"/><Relationship Id="rId24" Type="http://schemas.openxmlformats.org/officeDocument/2006/relationships/hyperlink" Target="https://www.iusinfo.hr/zakonodavstvo/uredba-o-izmjeni-i-dopuni-uredbe-o-nazivima-radnih-mjesta-i-koeficijentima-slozenosti-poslova-u-drzavnoj-sluzbi-1" TargetMode="External"/><Relationship Id="rId32" Type="http://schemas.openxmlformats.org/officeDocument/2006/relationships/hyperlink" Target="https://www.iusinfo.hr/zakonodavstvo/uredba-o-dopunama-uredbe-o-nazivima-radnih-mjesta-i-koeficijentima-slozenosti-poslova-u-drzavnoj-sluzbi-1" TargetMode="External"/><Relationship Id="rId37" Type="http://schemas.openxmlformats.org/officeDocument/2006/relationships/hyperlink" Target="https://www.iusinfo.hr/zakonodavstvo/uredba-o-izmjenama-i-dopunama-uredbe-o-nazivima-radnih-mjesta-i-koeficijentima-slozenosti-poslova-u-drzavnoj-sluzbi-11" TargetMode="External"/><Relationship Id="rId40" Type="http://schemas.openxmlformats.org/officeDocument/2006/relationships/hyperlink" Target="https://www.iusinfo.hr/zakonodavstvo/uredba-o-izmjenama-i-dopunama-uredbe-o-nazivima-radnih-mjesta-i-koeficijentima-slozenosti-poslova-u-drzavnoj-sluzbi-8" TargetMode="External"/><Relationship Id="rId45" Type="http://schemas.openxmlformats.org/officeDocument/2006/relationships/hyperlink" Target="https://www.iusinfo.hr/zakonodavstvo/uredba-o-izmjeni-uredbe-o-nazivima-radnih-mjesta-i-koeficijentima-slozenosti-poslova-u-drzavnoj-sluzbi-2" TargetMode="External"/><Relationship Id="rId53" Type="http://schemas.openxmlformats.org/officeDocument/2006/relationships/hyperlink" Target="https://www.iusinfo.hr/zakonodavstvo/uredba-o-izmjenama-i-dopunama-uredbe-o-nazivima-radnih-mjesta-i-koeficijentima-slozenosti-poslova-u-drzavnoj-sluzbi-13" TargetMode="External"/><Relationship Id="rId58" Type="http://schemas.openxmlformats.org/officeDocument/2006/relationships/hyperlink" Target="https://www.iusinfo.hr/zakonodavstvo/uredba-o-izmjenama-i-dopunama-uredbe-o-nazivima-radnih-mjesta-i-koeficijentima-slozenosti-poslova-u-drzavnoj-sluzbi-17" TargetMode="External"/><Relationship Id="rId5" Type="http://schemas.openxmlformats.org/officeDocument/2006/relationships/webSettings" Target="webSettings.xml"/><Relationship Id="rId15" Type="http://schemas.openxmlformats.org/officeDocument/2006/relationships/hyperlink" Target="https://www.iusinfo.hr/zakonodavstvo/uredba-o-izmjeni-uredbe-o-nazivima-radnih-mjesta-i-koeficijentima-slozenosti-poslova-u-drzavnoj-sluzbi" TargetMode="External"/><Relationship Id="rId23" Type="http://schemas.openxmlformats.org/officeDocument/2006/relationships/hyperlink" Target="https://www.iusinfo.hr/zakonodavstvo/uredba-o-nazivima-radnih-mjesta-i-koeficijentima-slozenosti-poslova-dodatku-na-uvjete-rada-te-kriterijima-i-najvisem-mogucem-iznosu-dodatka-za-natprosjecne-rezultate-u-radu-za-sluzbenike-porezne-uprave" TargetMode="External"/><Relationship Id="rId28" Type="http://schemas.openxmlformats.org/officeDocument/2006/relationships/hyperlink" Target="https://www.iusinfo.hr/zakonodavstvo/uredba-o-dopunama-uredbe-o-nazivima-radnih-mjesta-i-koeficijentima-slozenosti-poslova-u-drzavnoj-sluzbi" TargetMode="External"/><Relationship Id="rId36" Type="http://schemas.openxmlformats.org/officeDocument/2006/relationships/hyperlink" Target="https://www.iusinfo.hr/zakonodavstvo/uredba-o-izmjenama-i-dopunama-uredbe-o-nazivima-radnih-mjesta-i-koeficijentima-slozenosti-poslova-u-drzavnoj-sluzbi-7" TargetMode="External"/><Relationship Id="rId49" Type="http://schemas.openxmlformats.org/officeDocument/2006/relationships/hyperlink" Target="https://www.iusinfo.hr/zakonodavstvo/uredba-o-izmjenama-i-dopunama-uredbe-o-nazivima-radnih-mjesta-i-koeficijentima-slozenosti-poslova-u-drzavnoj-sluzbi-12" TargetMode="External"/><Relationship Id="rId57" Type="http://schemas.openxmlformats.org/officeDocument/2006/relationships/hyperlink" Target="https://www.iusinfo.hr/zakonodavstvo/uredba-o-izmjenama-i-dopunama-uredbe-o-placama-dodacima-i-naknadama-u-sluzbi-vanjskih-poslova-2" TargetMode="External"/><Relationship Id="rId61" Type="http://schemas.openxmlformats.org/officeDocument/2006/relationships/fontTable" Target="fontTable.xml"/><Relationship Id="rId10" Type="http://schemas.openxmlformats.org/officeDocument/2006/relationships/hyperlink" Target="https://www.iusinfo.hr/zakonodavstvo/ispravak-uredbe-o-nazivima-radnih-mjesta-i-koeficijentima-slozenosti-poslova-u-drzavnoj-sluzbi" TargetMode="External"/><Relationship Id="rId19" Type="http://schemas.openxmlformats.org/officeDocument/2006/relationships/hyperlink" Target="https://www.iusinfo.hr/zakonodavstvo/uredba-o-izmjenama-i-dopunama-uredbe-o-nazivima-radnih-mjesta-i-koeficijentima-slozenosti-poslova-u-drzavnoj-sluzbi-3" TargetMode="External"/><Relationship Id="rId31" Type="http://schemas.openxmlformats.org/officeDocument/2006/relationships/hyperlink" Target="https://www.iusinfo.hr/zakonodavstvo/uredba-o-izmjenama-i-dopunama-uredbe-o-nazivima-radnih-mjesta-i-koeficijentima-slozenosti-poslova-u-drzavnoj-sluzbi-10" TargetMode="External"/><Relationship Id="rId44" Type="http://schemas.openxmlformats.org/officeDocument/2006/relationships/hyperlink" Target="https://www.iusinfo.hr/zakonodavstvo/uredba-o-izmjeni-i-dopunama-uredbe-o-nazivima-radnih-mjesta-i-koeficijentima-slozenosti-poslova-u-drzavnoj-sluzbi" TargetMode="External"/><Relationship Id="rId52" Type="http://schemas.openxmlformats.org/officeDocument/2006/relationships/hyperlink" Target="https://www.iusinfo.hr/zakonodavstvo/uredba-o-izmjeni-uredbe-o-nazivima-radnih-mjesta-i-koeficijentima-slozenosti-poslova-u-drzavnoj-sluzbi-5"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usinfo.hr/zakonodavstvo/uredba-o-nazivima-radnih-mjesta-i-koeficijentima-slozenosti-poslova-u-drzavnoj-sluzbi" TargetMode="External"/><Relationship Id="rId14" Type="http://schemas.openxmlformats.org/officeDocument/2006/relationships/hyperlink" Target="https://www.iusinfo.hr/zakonodavstvo/ispravak-uredbe-o-izmjenama-i-dopunama-uredbe-o-nazivima-radnih-mjesta-i-koeficijentima-slozenosti-poslova-u-drzavnoj-sluzbi" TargetMode="External"/><Relationship Id="rId22" Type="http://schemas.openxmlformats.org/officeDocument/2006/relationships/hyperlink" Target="https://www.iusinfo.hr/zakonodavstvo/zakon-o-izmjenama-i-dopunama-zakona-o-placama-ovlastenih-drzavnih-revizora" TargetMode="External"/><Relationship Id="rId27" Type="http://schemas.openxmlformats.org/officeDocument/2006/relationships/hyperlink" Target="https://www.iusinfo.hr/zakonodavstvo/uredba-o-dopuni-uredbe-o-nazivima-radnih-mjesta-i-koeficijentima-slozenosti-poslova-u-drzavnoj-sluzbi-2" TargetMode="External"/><Relationship Id="rId30" Type="http://schemas.openxmlformats.org/officeDocument/2006/relationships/hyperlink" Target="https://www.iusinfo.hr/zakonodavstvo/uredbu-o-dopuni-uredbe-o-nazivima-radnih-mjesta-i-koeficijentima-slozenosti-poslova-u-drzavnoj-sluzbi" TargetMode="External"/><Relationship Id="rId35" Type="http://schemas.openxmlformats.org/officeDocument/2006/relationships/hyperlink" Target="https://www.iusinfo.hr/zakonodavstvo/uredba-o-izmjenama-i-dopunama-uredbe-o-nazivima-radnih-mjesta-i-koeficijentima-slozenosti-poslova-u-drzavnoj-sluzbi-6" TargetMode="External"/><Relationship Id="rId43" Type="http://schemas.openxmlformats.org/officeDocument/2006/relationships/hyperlink" Target="https://www.iusinfo.hr/zakonodavstvo/uredba-o-izmjeni-i-dopunama-uredbe-o-nazivima-radnih-mjesta-i-koeficijentima-slozenosti-poslova-u-drzavnoj-sluzbi-1" TargetMode="External"/><Relationship Id="rId48" Type="http://schemas.openxmlformats.org/officeDocument/2006/relationships/hyperlink" Target="https://www.iusinfo.hr/zakonodavstvo/uredba-o-izmjeni-i-dopuni-uredbe-o-nazivima-radnih-mjesta-i-koeficijentima-slozenosti-poslova-u-drzavnoj-sluzbi-3" TargetMode="External"/><Relationship Id="rId56" Type="http://schemas.openxmlformats.org/officeDocument/2006/relationships/hyperlink" Target="https://www.iusinfo.hr/zakonodavstvo/uredba-o-izmjenama-i-dopunama-uredbe-o-nazivima-radnih-mjesta-i-koeficijentima-slozenosti-poslova-u-drzavnoj-sluzbi-16" TargetMode="External"/><Relationship Id="rId8" Type="http://schemas.openxmlformats.org/officeDocument/2006/relationships/image" Target="media/image1.jpeg"/><Relationship Id="rId51" Type="http://schemas.openxmlformats.org/officeDocument/2006/relationships/hyperlink" Target="https://www.iusinfo.hr/zakonodavstvo/uredba-o-izmjenama-i-dopunama-uredbe-o-nazivima-radnih-mjesta-i-koeficijentima-slozenosti-poslova-u-drzavnoj-sluzbi-15" TargetMode="External"/><Relationship Id="rId3" Type="http://schemas.openxmlformats.org/officeDocument/2006/relationships/styles" Target="styles.xml"/><Relationship Id="rId12" Type="http://schemas.openxmlformats.org/officeDocument/2006/relationships/hyperlink" Target="https://www.iusinfo.hr/zakonodavstvo/uredba-o-izmjenama-i-dopunama-uredbe-o-nazivima-radnih-mjesta-i-koeficijentima-slozenosti-poslova-u-drzavnoj-sluzbi-1" TargetMode="External"/><Relationship Id="rId17" Type="http://schemas.openxmlformats.org/officeDocument/2006/relationships/hyperlink" Target="https://www.iusinfo.hr/zakonodavstvo/uredba-o-izmjenama-i-dopunama-uredbe-o-nazivima-radnih-mjesta-i-koeficijentima-slozenosti-poslova-u-drzavnoj-sluzbi-2" TargetMode="External"/><Relationship Id="rId25" Type="http://schemas.openxmlformats.org/officeDocument/2006/relationships/hyperlink" Target="https://www.iusinfo.hr/zakonodavstvo/uredba-o-dopuni-uredbe-o-nazivima-radnih-mjesta-i-koeficijentima-slozenosti-poslova-u-drzavnoj-sluzbi-1" TargetMode="External"/><Relationship Id="rId33" Type="http://schemas.openxmlformats.org/officeDocument/2006/relationships/hyperlink" Target="https://www.iusinfo.hr/zakonodavstvo/uredba-o-izmjenama-i-dopunama-uredbe-o-nazivima-radnih-mjesta-i-koeficijentima-slozenosti-poslova-u-drzavnoj-sluzbi-5" TargetMode="External"/><Relationship Id="rId38" Type="http://schemas.openxmlformats.org/officeDocument/2006/relationships/hyperlink" Target="https://www.iusinfo.hr/zakonodavstvo/uredba-o-izmjenama-uredbe-o-nazivima-radnih-mjesta-i-koeficijentima-slozenosti-poslova-u-drzavnoj-sluzbi" TargetMode="External"/><Relationship Id="rId46" Type="http://schemas.openxmlformats.org/officeDocument/2006/relationships/hyperlink" Target="https://www.iusinfo.hr/zakonodavstvo/uredba-o-izmjenama-uredbe-o-nazivima-radnih-mjesta-i-koeficijentima-slozenosti-poslova-u-drzavnoj-sluzbi-1" TargetMode="External"/><Relationship Id="rId59" Type="http://schemas.openxmlformats.org/officeDocument/2006/relationships/hyperlink" Target="https://www.iusinfo.hr/zakonodavstvo/uredba-o-izmjenama-i-dopunama-uredbe-o-nazivima-radnih-mjesta-i-koeficijentima-slozenosti-poslova-u-drzavnoj-sluzbi-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63B1-2765-4CEC-AABB-D83DDC47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4078</Words>
  <Characters>23250</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TAJNIŠTVO MINISTARSTVA</vt:lpstr>
    </vt:vector>
  </TitlesOfParts>
  <Company>RH - TDU</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subject/>
  <dc:creator>Željko Čvorak</dc:creator>
  <cp:keywords/>
  <cp:lastModifiedBy>Diana Župan</cp:lastModifiedBy>
  <cp:revision>6</cp:revision>
  <cp:lastPrinted>2023-11-10T11:59:00Z</cp:lastPrinted>
  <dcterms:created xsi:type="dcterms:W3CDTF">2023-11-10T13:57:00Z</dcterms:created>
  <dcterms:modified xsi:type="dcterms:W3CDTF">2023-11-10T14:27:00Z</dcterms:modified>
</cp:coreProperties>
</file>